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Осенний семестр 2023-2024 учебного года</w:t>
      </w:r>
    </w:p>
    <w:p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Образовательная программа « </w:t>
      </w:r>
      <w:r>
        <w:rPr>
          <w:b/>
          <w:sz w:val="20"/>
          <w:szCs w:val="20"/>
          <w:lang w:val="ru-RU"/>
        </w:rPr>
        <w:t>Иностранная</w:t>
      </w:r>
      <w:r>
        <w:rPr>
          <w:rFonts w:hint="default"/>
          <w:b/>
          <w:sz w:val="20"/>
          <w:szCs w:val="20"/>
          <w:lang w:val="ru-RU"/>
        </w:rPr>
        <w:t xml:space="preserve"> филология</w:t>
      </w:r>
      <w:r>
        <w:rPr>
          <w:b/>
          <w:sz w:val="20"/>
          <w:szCs w:val="20"/>
        </w:rPr>
        <w:t xml:space="preserve"> »</w:t>
      </w:r>
    </w:p>
    <w:p>
      <w:pPr>
        <w:rPr>
          <w:b/>
          <w:sz w:val="20"/>
          <w:szCs w:val="20"/>
        </w:rPr>
      </w:pPr>
    </w:p>
    <w:p>
      <w:pPr>
        <w:ind w:left="-851"/>
        <w:rPr>
          <w:color w:val="FF0000"/>
          <w:sz w:val="20"/>
          <w:szCs w:val="20"/>
        </w:rPr>
      </w:pPr>
      <w:r>
        <w:rPr>
          <w:bCs/>
          <w:color w:val="FF0000"/>
          <w:sz w:val="20"/>
          <w:szCs w:val="20"/>
          <w:lang w:val="kk-KZ"/>
        </w:rPr>
        <w:t xml:space="preserve">Общий обьем силлабуса не более </w:t>
      </w:r>
      <w:r>
        <w:rPr>
          <w:bCs/>
          <w:color w:val="FF0000"/>
          <w:sz w:val="20"/>
          <w:szCs w:val="20"/>
        </w:rPr>
        <w:t xml:space="preserve"> </w:t>
      </w:r>
      <w:r>
        <w:rPr>
          <w:bCs/>
          <w:color w:val="FF0000"/>
          <w:sz w:val="20"/>
          <w:szCs w:val="20"/>
          <w:lang w:val="kk-KZ"/>
        </w:rPr>
        <w:t>5-6</w:t>
      </w:r>
      <w:r>
        <w:rPr>
          <w:bCs/>
          <w:color w:val="FF0000"/>
          <w:sz w:val="20"/>
          <w:szCs w:val="20"/>
        </w:rPr>
        <w:t xml:space="preserve"> стр,</w:t>
      </w:r>
      <w:r>
        <w:rPr>
          <w:color w:val="FF0000"/>
          <w:sz w:val="20"/>
          <w:szCs w:val="20"/>
        </w:rPr>
        <w:t xml:space="preserve"> не считая рубрикаторов оценивания СРО.</w:t>
      </w:r>
    </w:p>
    <w:p>
      <w:pPr>
        <w:ind w:left="-851"/>
        <w:rPr>
          <w:bCs/>
          <w:color w:val="FF0000"/>
          <w:sz w:val="20"/>
          <w:szCs w:val="20"/>
          <w:lang w:val="en-US"/>
        </w:rPr>
      </w:pPr>
      <w:r>
        <w:rPr>
          <w:bCs/>
          <w:color w:val="FF0000"/>
          <w:sz w:val="20"/>
          <w:szCs w:val="20"/>
        </w:rPr>
        <w:t>Шрифт</w:t>
      </w:r>
      <w:r>
        <w:rPr>
          <w:bCs/>
          <w:color w:val="FF0000"/>
          <w:sz w:val="20"/>
          <w:szCs w:val="20"/>
          <w:lang w:val="en-US"/>
        </w:rPr>
        <w:t xml:space="preserve"> Times New Roman, </w:t>
      </w:r>
      <w:r>
        <w:rPr>
          <w:bCs/>
          <w:color w:val="FF0000"/>
          <w:sz w:val="20"/>
          <w:szCs w:val="20"/>
        </w:rPr>
        <w:t>кегль</w:t>
      </w:r>
      <w:r>
        <w:rPr>
          <w:bCs/>
          <w:color w:val="FF0000"/>
          <w:sz w:val="20"/>
          <w:szCs w:val="20"/>
          <w:lang w:val="en-US"/>
        </w:rPr>
        <w:t xml:space="preserve"> 10.</w:t>
      </w:r>
    </w:p>
    <w:tbl>
      <w:tblPr>
        <w:tblStyle w:val="9"/>
        <w:tblW w:w="13872" w:type="dxa"/>
        <w:tblInd w:w="-85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565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65" w:hRule="atLeast"/>
        </w:trPr>
        <w:tc>
          <w:tcPr>
            <w:tcW w:w="1701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ID и наименование</w:t>
            </w:r>
            <w:r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>
            <w:pPr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(СРО)</w:t>
            </w:r>
          </w:p>
          <w:p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 xml:space="preserve">Вносите СРС, СРМ, СРД </w:t>
            </w:r>
          </w:p>
          <w:p>
            <w:pPr>
              <w:rPr>
                <w:bCs/>
                <w:i/>
                <w:iCs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>в зависимости от уровня обучения</w:t>
            </w:r>
          </w:p>
        </w:tc>
        <w:tc>
          <w:tcPr>
            <w:tcW w:w="2835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 xml:space="preserve">Кол-во </w:t>
            </w:r>
            <w:r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5650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</w:rPr>
              <w:t>под руководством преподавателя (СРОП)</w:t>
            </w:r>
            <w:r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>Вносите СРСП, СРМП, СРДП в зависимости от уровня обучения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883" w:hRule="atLeast"/>
        </w:trPr>
        <w:tc>
          <w:tcPr>
            <w:tcW w:w="1701" w:type="dxa"/>
            <w:vMerge w:val="continue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 w:val="continue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 w:val="continue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650" w:type="dxa"/>
            <w:vMerge w:val="continue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wAfter w:w="0" w:type="auto"/>
        </w:trPr>
        <w:tc>
          <w:tcPr>
            <w:tcW w:w="17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/>
                <w:sz w:val="20"/>
                <w:szCs w:val="20"/>
                <w:lang w:val="en-US"/>
              </w:rPr>
              <w:t>100238</w:t>
            </w:r>
          </w:p>
        </w:tc>
        <w:tc>
          <w:tcPr>
            <w:tcW w:w="2269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rStyle w:val="44"/>
                <w:rFonts w:hint="default"/>
                <w:color w:val="FF0000"/>
                <w:sz w:val="16"/>
                <w:szCs w:val="16"/>
                <w:shd w:val="clear" w:color="auto" w:fill="FFFFFF"/>
                <w:lang w:val="ru-RU"/>
              </w:rPr>
            </w:pP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rStyle w:val="44"/>
                <w:rFonts w:hint="default"/>
                <w:color w:val="FF0000"/>
                <w:sz w:val="20"/>
                <w:szCs w:val="20"/>
                <w:shd w:val="clear" w:color="auto" w:fill="FFFFFF"/>
                <w:lang w:val="en-US"/>
              </w:rPr>
              <w:t>9</w:t>
            </w:r>
            <w:r>
              <w:rPr>
                <w:rStyle w:val="44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jc w:val="center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/>
                <w:sz w:val="20"/>
                <w:szCs w:val="20"/>
                <w:lang w:val="en-US"/>
              </w:rPr>
              <w:t>0,00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jc w:val="center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/>
                <w:sz w:val="20"/>
                <w:szCs w:val="20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jc w:val="center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/>
                <w:sz w:val="20"/>
                <w:szCs w:val="20"/>
                <w:lang w:val="en-US"/>
              </w:rPr>
              <w:t>0,00</w:t>
            </w:r>
          </w:p>
        </w:tc>
        <w:tc>
          <w:tcPr>
            <w:tcW w:w="141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jc w:val="center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/>
                <w:sz w:val="20"/>
                <w:szCs w:val="20"/>
                <w:lang w:val="en-US"/>
              </w:rPr>
              <w:t>9</w:t>
            </w:r>
          </w:p>
        </w:tc>
        <w:tc>
          <w:tcPr>
            <w:tcW w:w="565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sz w:val="20"/>
                <w:szCs w:val="20"/>
                <w:lang w:val="kk-KZ"/>
              </w:rPr>
            </w:pPr>
            <w:r>
              <w:rPr>
                <w:rFonts w:hint="default"/>
                <w:color w:val="FF0000"/>
                <w:sz w:val="16"/>
                <w:szCs w:val="16"/>
                <w:lang w:val="en-US"/>
              </w:rPr>
              <w:t>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wAfter w:w="0" w:type="auto"/>
          <w:trHeight w:val="225" w:hRule="atLeast"/>
        </w:trPr>
        <w:tc>
          <w:tcPr>
            <w:tcW w:w="13872" w:type="dxa"/>
            <w:gridSpan w:val="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АКАДЕМИЧЕСКАЯ ИНФОРМАЦИЯ О ДИСЦИПЛИНЕ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wAfter w:w="0" w:type="auto"/>
        </w:trPr>
        <w:tc>
          <w:tcPr>
            <w:tcW w:w="17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Формат обучения</w:t>
            </w:r>
          </w:p>
        </w:tc>
        <w:tc>
          <w:tcPr>
            <w:tcW w:w="12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Цикл, </w:t>
            </w:r>
          </w:p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7067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 платформа</w:t>
            </w:r>
          </w:p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итогового контроля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wAfter w:w="0" w:type="auto"/>
        </w:trPr>
        <w:tc>
          <w:tcPr>
            <w:tcW w:w="17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hint="default"/>
                <w:bCs/>
                <w:i/>
                <w:iCs/>
                <w:sz w:val="20"/>
                <w:szCs w:val="20"/>
                <w:highlight w:val="yellow"/>
                <w:lang w:val="ru-RU"/>
              </w:rPr>
            </w:pPr>
            <w:r>
              <w:rPr>
                <w:rFonts w:hint="default"/>
                <w:bCs/>
                <w:i/>
                <w:iCs/>
                <w:sz w:val="20"/>
                <w:szCs w:val="20"/>
                <w:highlight w:val="yellow"/>
                <w:lang w:val="ru-RU"/>
              </w:rPr>
              <w:t>онлайн</w:t>
            </w:r>
          </w:p>
        </w:tc>
        <w:tc>
          <w:tcPr>
            <w:tcW w:w="12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Вузовский</w:t>
            </w:r>
            <w:r>
              <w:rPr>
                <w:rFonts w:hint="default"/>
                <w:sz w:val="20"/>
                <w:szCs w:val="20"/>
                <w:lang w:val="ru-RU"/>
              </w:rPr>
              <w:t xml:space="preserve"> компонент</w:t>
            </w:r>
          </w:p>
        </w:tc>
        <w:tc>
          <w:tcPr>
            <w:tcW w:w="198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______</w:t>
            </w:r>
          </w:p>
        </w:tc>
        <w:tc>
          <w:tcPr>
            <w:tcW w:w="1843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jc w:val="both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семинары</w:t>
            </w:r>
          </w:p>
        </w:tc>
        <w:tc>
          <w:tcPr>
            <w:tcW w:w="7067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rFonts w:hint="default"/>
                <w:sz w:val="16"/>
                <w:szCs w:val="16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Устная</w:t>
            </w:r>
            <w:r>
              <w:rPr>
                <w:rFonts w:hint="default"/>
                <w:sz w:val="18"/>
                <w:szCs w:val="18"/>
                <w:lang w:val="ru-RU"/>
              </w:rPr>
              <w:t xml:space="preserve">                                                        </w:t>
            </w:r>
            <w:r>
              <w:rPr>
                <w:rFonts w:hint="default"/>
                <w:sz w:val="16"/>
                <w:szCs w:val="16"/>
                <w:lang w:val="ru-RU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wAfter w:w="0" w:type="auto"/>
          <w:trHeight w:val="214" w:hRule="atLeast"/>
        </w:trPr>
        <w:tc>
          <w:tcPr>
            <w:tcW w:w="17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Лектор</w:t>
            </w:r>
            <w:r>
              <w:rPr>
                <w:b/>
                <w:sz w:val="20"/>
                <w:szCs w:val="20"/>
                <w:lang w:val="kk-KZ"/>
              </w:rPr>
              <w:t xml:space="preserve"> -</w:t>
            </w:r>
            <w:r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Макатаева Шолпан Мукагалиевна</w:t>
            </w:r>
          </w:p>
        </w:tc>
        <w:tc>
          <w:tcPr>
            <w:tcW w:w="7067" w:type="dxa"/>
            <w:gridSpan w:val="2"/>
            <w:vMerge w:val="continue"/>
          </w:tcPr>
          <w:p>
            <w:pPr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wAfter w:w="0" w:type="auto"/>
        </w:trPr>
        <w:tc>
          <w:tcPr>
            <w:tcW w:w="17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de-CH"/>
              </w:rPr>
              <w:t>E</w:t>
            </w:r>
            <w:r>
              <w:rPr>
                <w:sz w:val="20"/>
                <w:szCs w:val="20"/>
                <w:lang w:val="fr-FR"/>
              </w:rPr>
              <w:t>-</w:t>
            </w:r>
            <w:r>
              <w:rPr>
                <w:sz w:val="20"/>
                <w:szCs w:val="20"/>
                <w:lang w:val="de-CH"/>
              </w:rPr>
              <w:t>mail</w:t>
            </w:r>
            <w:r>
              <w:rPr>
                <w:sz w:val="20"/>
                <w:szCs w:val="20"/>
                <w:lang w:val="fr-FR"/>
              </w:rPr>
              <w:t>: sh.mak@mail.ru</w:t>
            </w:r>
            <w:r>
              <w:rPr>
                <w:rStyle w:val="10"/>
                <w:color w:val="auto"/>
                <w:sz w:val="20"/>
                <w:szCs w:val="20"/>
                <w:lang w:val="fr-FR"/>
              </w:rPr>
              <w:t xml:space="preserve"> </w:t>
            </w:r>
            <w:r>
              <w:rPr>
                <w:rStyle w:val="10"/>
                <w:color w:val="auto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7067" w:type="dxa"/>
            <w:gridSpan w:val="2"/>
            <w:vMerge w:val="continue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wAfter w:w="0" w:type="auto"/>
        </w:trPr>
        <w:tc>
          <w:tcPr>
            <w:tcW w:w="17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rStyle w:val="11"/>
                <w:b w:val="0"/>
                <w:sz w:val="20"/>
                <w:szCs w:val="20"/>
                <w:lang w:val="kk-KZ"/>
              </w:rPr>
              <w:t>3773330 (внут. 13-23)</w:t>
            </w:r>
          </w:p>
        </w:tc>
        <w:tc>
          <w:tcPr>
            <w:tcW w:w="7067" w:type="dxa"/>
            <w:gridSpan w:val="2"/>
            <w:vMerge w:val="continue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wAfter w:w="0" w:type="auto"/>
        </w:trPr>
        <w:tc>
          <w:tcPr>
            <w:tcW w:w="17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Ассистент</w:t>
            </w:r>
            <w:r>
              <w:rPr>
                <w:b/>
                <w:sz w:val="20"/>
                <w:szCs w:val="20"/>
                <w:lang w:val="kk-KZ"/>
              </w:rPr>
              <w:t xml:space="preserve">- </w:t>
            </w:r>
            <w:r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jc w:val="both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Айтжанова</w:t>
            </w:r>
            <w:r>
              <w:rPr>
                <w:rFonts w:hint="default"/>
                <w:sz w:val="20"/>
                <w:szCs w:val="20"/>
                <w:lang w:val="ru-RU"/>
              </w:rPr>
              <w:t xml:space="preserve"> Гульнар Досхожаевна</w:t>
            </w:r>
          </w:p>
        </w:tc>
        <w:tc>
          <w:tcPr>
            <w:tcW w:w="7067" w:type="dxa"/>
            <w:gridSpan w:val="2"/>
            <w:vMerge w:val="continue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wAfter w:w="0" w:type="auto"/>
        </w:trPr>
        <w:tc>
          <w:tcPr>
            <w:tcW w:w="17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67" w:type="dxa"/>
            <w:gridSpan w:val="2"/>
            <w:vMerge w:val="continue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wAfter w:w="0" w:type="auto"/>
        </w:trPr>
        <w:tc>
          <w:tcPr>
            <w:tcW w:w="17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jc w:val="both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Style w:val="11"/>
                <w:b w:val="0"/>
                <w:sz w:val="20"/>
                <w:szCs w:val="20"/>
                <w:lang w:val="kk-KZ"/>
              </w:rPr>
              <w:t>3773330 (внут. 13-23</w:t>
            </w:r>
            <w:r>
              <w:rPr>
                <w:rStyle w:val="11"/>
                <w:rFonts w:hint="default"/>
                <w:b w:val="0"/>
                <w:sz w:val="20"/>
                <w:szCs w:val="20"/>
                <w:lang w:val="ru-RU"/>
              </w:rPr>
              <w:t>)</w:t>
            </w:r>
          </w:p>
        </w:tc>
        <w:tc>
          <w:tcPr>
            <w:tcW w:w="7067" w:type="dxa"/>
            <w:gridSpan w:val="2"/>
            <w:vMerge w:val="continue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wAfter w:w="0" w:type="auto"/>
          <w:trHeight w:val="109" w:hRule="atLeast"/>
        </w:trPr>
        <w:tc>
          <w:tcPr>
            <w:tcW w:w="13872" w:type="dxa"/>
            <w:gridSpan w:val="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  <w:p>
            <w:pPr>
              <w:rPr>
                <w:color w:val="FF0000"/>
                <w:sz w:val="16"/>
                <w:szCs w:val="1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wAfter w:w="0" w:type="auto"/>
        </w:trPr>
        <w:tc>
          <w:tcPr>
            <w:tcW w:w="1701" w:type="dxa"/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>
              <w:rPr>
                <w:b/>
                <w:sz w:val="20"/>
                <w:szCs w:val="20"/>
                <w:lang w:val="kk-KZ"/>
              </w:rPr>
              <w:t>*</w:t>
            </w:r>
            <w:r>
              <w:rPr>
                <w:sz w:val="20"/>
                <w:szCs w:val="20"/>
              </w:rPr>
              <w:t xml:space="preserve"> </w:t>
            </w:r>
          </w:p>
          <w:p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7067" w:type="dxa"/>
            <w:gridSpan w:val="2"/>
            <w:shd w:val="clear" w:color="auto" w:fill="auto"/>
          </w:tcPr>
          <w:p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rStyle w:val="44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wAfter w:w="0" w:type="auto"/>
          <w:trHeight w:val="894" w:hRule="atLeast"/>
        </w:trPr>
        <w:tc>
          <w:tcPr>
            <w:tcW w:w="1701" w:type="dxa"/>
            <w:vMerge w:val="restart"/>
            <w:shd w:val="clear" w:color="auto" w:fill="auto"/>
          </w:tcPr>
          <w:p>
            <w:pPr>
              <w:jc w:val="both"/>
              <w:rPr>
                <w:b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 xml:space="preserve">Цель дисциплины: сформировать способность овладения орфографической, орфоэпической, лексической, грамматической и стилистической нормами иностранного языка, а также развитие общей и коммуникативной компетенций применительно ко всем видам коммуникативной деятельности в различных сферах речевой активности. Будут изучены: вводно-коррективный курс,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lang w:val="ru-RU"/>
              </w:rPr>
              <w:t xml:space="preserve">лексический материал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 xml:space="preserve">грамматические явления </w:t>
            </w: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>
            <w:pPr>
              <w:pStyle w:val="41"/>
              <w:numPr>
                <w:ilvl w:val="0"/>
                <w:numId w:val="1"/>
              </w:numPr>
              <w:tabs>
                <w:tab w:val="left" w:pos="166"/>
              </w:tabs>
              <w:ind w:left="0" w:firstLine="0"/>
              <w:jc w:val="both"/>
              <w:rPr>
                <w:color w:val="FF0000"/>
                <w:sz w:val="18"/>
                <w:szCs w:val="18"/>
              </w:rPr>
            </w:pPr>
            <w:r>
              <w:rPr>
                <w:sz w:val="20"/>
                <w:szCs w:val="20"/>
                <w:lang w:val="ru-RU"/>
              </w:rPr>
              <w:t>Быть</w:t>
            </w:r>
            <w:r>
              <w:rPr>
                <w:rFonts w:hint="default"/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</w:rPr>
              <w:t>готов</w:t>
            </w:r>
            <w:r>
              <w:rPr>
                <w:sz w:val="20"/>
                <w:szCs w:val="20"/>
                <w:lang w:val="ru-RU"/>
              </w:rPr>
              <w:t>ым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толерантному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восприятию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социальных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культурных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различий, иметь навыки уровня А1,А2 французского языка</w:t>
            </w:r>
          </w:p>
        </w:tc>
        <w:tc>
          <w:tcPr>
            <w:tcW w:w="7067" w:type="dxa"/>
            <w:gridSpan w:val="2"/>
            <w:shd w:val="clear" w:color="auto" w:fill="auto"/>
          </w:tcPr>
          <w:p>
            <w:pPr>
              <w:pStyle w:val="41"/>
              <w:numPr>
                <w:ilvl w:val="1"/>
                <w:numId w:val="2"/>
              </w:numPr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auto"/>
                <w:sz w:val="20"/>
                <w:szCs w:val="20"/>
                <w:lang w:val="ru-RU"/>
              </w:rPr>
              <w:t>Обучаемый</w:t>
            </w:r>
            <w:r>
              <w:rPr>
                <w:rFonts w:hint="default"/>
                <w:color w:val="auto"/>
                <w:sz w:val="20"/>
                <w:szCs w:val="20"/>
                <w:lang w:val="ru-RU"/>
              </w:rPr>
              <w:t xml:space="preserve"> умеет воспринимать социо-культурные различия в виде речевых клише ,внешнего проявления (поведения)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wAfter w:w="0" w:type="auto"/>
          <w:trHeight w:val="152" w:hRule="atLeast"/>
        </w:trPr>
        <w:tc>
          <w:tcPr>
            <w:tcW w:w="1701" w:type="dxa"/>
            <w:vMerge w:val="continue"/>
          </w:tcPr>
          <w:p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 w:val="continue"/>
          </w:tcPr>
          <w:p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67" w:type="dxa"/>
            <w:gridSpan w:val="2"/>
            <w:shd w:val="clear" w:color="auto" w:fill="auto"/>
          </w:tcPr>
          <w:p>
            <w:pPr>
              <w:jc w:val="both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1.2</w:t>
            </w:r>
            <w:r>
              <w:rPr>
                <w:rFonts w:hint="default"/>
                <w:sz w:val="20"/>
                <w:szCs w:val="20"/>
                <w:lang w:val="ru-RU"/>
              </w:rPr>
              <w:t xml:space="preserve"> Владеет навыками устной речи уровня </w:t>
            </w:r>
            <w:r>
              <w:rPr>
                <w:rFonts w:hint="default"/>
                <w:sz w:val="20"/>
                <w:szCs w:val="20"/>
                <w:lang w:val="en-US"/>
              </w:rPr>
              <w:t>debutant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wAfter w:w="0" w:type="auto"/>
          <w:trHeight w:val="76" w:hRule="atLeast"/>
        </w:trPr>
        <w:tc>
          <w:tcPr>
            <w:tcW w:w="1701" w:type="dxa"/>
            <w:vMerge w:val="continue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>
            <w:pPr>
              <w:pStyle w:val="47"/>
              <w:tabs>
                <w:tab w:val="left" w:pos="2022"/>
              </w:tabs>
              <w:spacing w:line="261" w:lineRule="exact"/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2.</w:t>
            </w:r>
            <w:r>
              <w:rPr>
                <w:sz w:val="18"/>
                <w:szCs w:val="18"/>
                <w:lang w:val="ru-RU"/>
              </w:rPr>
              <w:t>В</w:t>
            </w:r>
            <w:r>
              <w:rPr>
                <w:sz w:val="20"/>
                <w:szCs w:val="20"/>
              </w:rPr>
              <w:t>ладет</w:t>
            </w:r>
            <w:r>
              <w:rPr>
                <w:sz w:val="20"/>
                <w:szCs w:val="20"/>
                <w:lang w:val="ru-RU"/>
              </w:rPr>
              <w:t>ь</w:t>
            </w:r>
            <w:r>
              <w:rPr>
                <w:sz w:val="20"/>
                <w:szCs w:val="20"/>
              </w:rPr>
              <w:t xml:space="preserve"> навыками</w:t>
            </w:r>
          </w:p>
          <w:p>
            <w:pPr>
              <w:jc w:val="both"/>
              <w:rPr>
                <w:rFonts w:hint="default"/>
                <w:sz w:val="18"/>
                <w:szCs w:val="18"/>
                <w:lang w:val="ru-RU"/>
              </w:rPr>
            </w:pPr>
            <w:r>
              <w:rPr>
                <w:sz w:val="20"/>
                <w:szCs w:val="20"/>
              </w:rPr>
              <w:t>восприятия,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понимания,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а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также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многоаспектного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анализа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устной</w:t>
            </w:r>
            <w:r>
              <w:rPr>
                <w:sz w:val="20"/>
                <w:szCs w:val="20"/>
              </w:rPr>
              <w:tab/>
            </w:r>
            <w:r>
              <w:rPr>
                <w:spacing w:val="-3"/>
                <w:sz w:val="20"/>
                <w:szCs w:val="20"/>
              </w:rPr>
              <w:t xml:space="preserve">и </w:t>
            </w:r>
            <w:r>
              <w:rPr>
                <w:spacing w:val="-5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письменной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речи</w:t>
            </w:r>
          </w:p>
        </w:tc>
        <w:tc>
          <w:tcPr>
            <w:tcW w:w="7067" w:type="dxa"/>
            <w:gridSpan w:val="2"/>
            <w:shd w:val="clear" w:color="auto" w:fill="auto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rFonts w:hint="default"/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</w:rPr>
              <w:t>2.1</w:t>
            </w:r>
            <w:r>
              <w:rPr>
                <w:rFonts w:hint="default"/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rFonts w:hint="default"/>
                <w:color w:val="000000"/>
                <w:sz w:val="20"/>
                <w:szCs w:val="20"/>
                <w:lang w:val="ru-RU"/>
              </w:rPr>
              <w:t>Владеет аудионавыками требуемого уровня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wAfter w:w="0" w:type="auto"/>
          <w:trHeight w:val="76" w:hRule="atLeast"/>
        </w:trPr>
        <w:tc>
          <w:tcPr>
            <w:tcW w:w="1701" w:type="dxa"/>
            <w:vMerge w:val="continue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 w:val="continue"/>
          </w:tcPr>
          <w:p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67" w:type="dxa"/>
            <w:gridSpan w:val="2"/>
            <w:shd w:val="clear" w:color="auto" w:fill="auto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rFonts w:hint="default"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/>
                <w:color w:val="000000"/>
                <w:sz w:val="20"/>
                <w:szCs w:val="20"/>
                <w:lang w:val="ru-RU"/>
              </w:rPr>
              <w:t>2.2 Умеет анализировать высказывания ,их грамматическую форму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wAfter w:w="0" w:type="auto"/>
          <w:trHeight w:val="84" w:hRule="atLeast"/>
        </w:trPr>
        <w:tc>
          <w:tcPr>
            <w:tcW w:w="1701" w:type="dxa"/>
            <w:vMerge w:val="continue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>И</w:t>
            </w:r>
            <w:r>
              <w:rPr>
                <w:sz w:val="20"/>
                <w:szCs w:val="20"/>
              </w:rPr>
              <w:t xml:space="preserve">спользовать языковые средства </w:t>
            </w:r>
            <w:r>
              <w:rPr>
                <w:spacing w:val="-1"/>
                <w:sz w:val="20"/>
                <w:szCs w:val="20"/>
              </w:rPr>
              <w:t>для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достижения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коммуникативных</w:t>
            </w:r>
            <w:r>
              <w:rPr>
                <w:spacing w:val="4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целей</w:t>
            </w:r>
            <w:r>
              <w:rPr>
                <w:spacing w:val="4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конкретной </w:t>
            </w:r>
            <w:r>
              <w:rPr>
                <w:spacing w:val="-1"/>
                <w:sz w:val="20"/>
                <w:szCs w:val="20"/>
              </w:rPr>
              <w:t>ситуации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устного и </w:t>
            </w:r>
            <w:r>
              <w:rPr>
                <w:spacing w:val="-1"/>
                <w:sz w:val="20"/>
                <w:szCs w:val="20"/>
              </w:rPr>
              <w:t xml:space="preserve">письменного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общения на изучаемом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иностранном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языке;</w:t>
            </w:r>
          </w:p>
        </w:tc>
        <w:tc>
          <w:tcPr>
            <w:tcW w:w="7067" w:type="dxa"/>
            <w:gridSpan w:val="2"/>
            <w:shd w:val="clear" w:color="auto" w:fill="auto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rFonts w:hint="default"/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</w:rPr>
              <w:t>3.1</w:t>
            </w:r>
            <w:r>
              <w:rPr>
                <w:rFonts w:hint="default"/>
                <w:color w:val="000000"/>
                <w:sz w:val="20"/>
                <w:szCs w:val="20"/>
                <w:lang w:val="ru-RU"/>
              </w:rPr>
              <w:t xml:space="preserve"> Умеет входить в акт коммуникации соответствующего уровня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wAfter w:w="0" w:type="auto"/>
          <w:trHeight w:val="84" w:hRule="atLeast"/>
        </w:trPr>
        <w:tc>
          <w:tcPr>
            <w:tcW w:w="1701" w:type="dxa"/>
            <w:vMerge w:val="continue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 w:val="continue"/>
          </w:tcPr>
          <w:p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67" w:type="dxa"/>
            <w:gridSpan w:val="2"/>
            <w:shd w:val="clear" w:color="auto" w:fill="auto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rFonts w:hint="default"/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</w:rPr>
              <w:t>3.2</w:t>
            </w:r>
            <w:r>
              <w:rPr>
                <w:rFonts w:hint="default"/>
                <w:color w:val="000000"/>
                <w:sz w:val="20"/>
                <w:szCs w:val="20"/>
                <w:lang w:val="ru-RU"/>
              </w:rPr>
              <w:t xml:space="preserve"> Умеет отражать адекватно реплики собеседника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wAfter w:w="0" w:type="auto"/>
          <w:trHeight w:val="76" w:hRule="atLeast"/>
        </w:trPr>
        <w:tc>
          <w:tcPr>
            <w:tcW w:w="1701" w:type="dxa"/>
            <w:vMerge w:val="continue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>С</w:t>
            </w:r>
            <w:r>
              <w:rPr>
                <w:sz w:val="20"/>
                <w:szCs w:val="20"/>
              </w:rPr>
              <w:t>амостоятельно осуществлять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переработку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иноязычной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информации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для </w:t>
            </w:r>
            <w:r>
              <w:rPr>
                <w:spacing w:val="-1"/>
                <w:sz w:val="20"/>
                <w:szCs w:val="20"/>
              </w:rPr>
              <w:t>реш</w:t>
            </w:r>
            <w:r>
              <w:rPr>
                <w:spacing w:val="-1"/>
                <w:sz w:val="20"/>
                <w:szCs w:val="20"/>
                <w:lang w:val="ru-RU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ния </w:t>
            </w:r>
            <w:r>
              <w:rPr>
                <w:sz w:val="20"/>
                <w:szCs w:val="20"/>
              </w:rPr>
              <w:t>профессиональных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задач;</w:t>
            </w:r>
          </w:p>
        </w:tc>
        <w:tc>
          <w:tcPr>
            <w:tcW w:w="7067" w:type="dxa"/>
            <w:gridSpan w:val="2"/>
            <w:shd w:val="clear" w:color="auto" w:fill="auto"/>
          </w:tcPr>
          <w:p>
            <w:pPr>
              <w:jc w:val="both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4.1</w:t>
            </w:r>
            <w:r>
              <w:rPr>
                <w:rFonts w:hint="default"/>
                <w:sz w:val="20"/>
                <w:szCs w:val="20"/>
                <w:lang w:val="ru-RU"/>
              </w:rPr>
              <w:t xml:space="preserve"> Осуществляет переработку аутентичного материала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wAfter w:w="0" w:type="auto"/>
          <w:trHeight w:val="76" w:hRule="atLeast"/>
        </w:trPr>
        <w:tc>
          <w:tcPr>
            <w:tcW w:w="1701" w:type="dxa"/>
            <w:vMerge w:val="continue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 w:val="continue"/>
          </w:tcPr>
          <w:p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67" w:type="dxa"/>
            <w:gridSpan w:val="2"/>
            <w:shd w:val="clear" w:color="auto" w:fill="auto"/>
          </w:tcPr>
          <w:p>
            <w:pPr>
              <w:jc w:val="both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4.2</w:t>
            </w:r>
            <w:r>
              <w:rPr>
                <w:rFonts w:hint="default"/>
                <w:sz w:val="20"/>
                <w:szCs w:val="20"/>
                <w:lang w:val="ru-RU"/>
              </w:rPr>
              <w:t xml:space="preserve"> Владеет необходимым лексическим материалом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wAfter w:w="0" w:type="auto"/>
          <w:trHeight w:val="76" w:hRule="atLeast"/>
        </w:trPr>
        <w:tc>
          <w:tcPr>
            <w:tcW w:w="1701" w:type="dxa"/>
            <w:vMerge w:val="continue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</w:t>
            </w:r>
            <w:r>
              <w:rPr>
                <w:sz w:val="18"/>
                <w:szCs w:val="18"/>
                <w:lang w:val="ru-RU"/>
              </w:rPr>
              <w:t>И</w:t>
            </w:r>
            <w:r>
              <w:rPr>
                <w:sz w:val="20"/>
                <w:szCs w:val="20"/>
              </w:rPr>
              <w:t>меть  навыки письменной речи ,соответствующим уровням А1,А2</w:t>
            </w:r>
          </w:p>
        </w:tc>
        <w:tc>
          <w:tcPr>
            <w:tcW w:w="7067" w:type="dxa"/>
            <w:gridSpan w:val="2"/>
            <w:shd w:val="clear" w:color="auto" w:fill="auto"/>
          </w:tcPr>
          <w:p>
            <w:pPr>
              <w:jc w:val="both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5.1</w:t>
            </w:r>
            <w:r>
              <w:rPr>
                <w:rFonts w:hint="default"/>
                <w:sz w:val="20"/>
                <w:szCs w:val="20"/>
                <w:lang w:val="ru-RU"/>
              </w:rPr>
              <w:t xml:space="preserve"> Владеет навыками письменной речи требуемого уровня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wAfter w:w="0" w:type="auto"/>
          <w:trHeight w:val="76" w:hRule="atLeast"/>
        </w:trPr>
        <w:tc>
          <w:tcPr>
            <w:tcW w:w="1701" w:type="dxa"/>
            <w:vMerge w:val="continue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continue"/>
          </w:tcPr>
          <w:p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67" w:type="dxa"/>
            <w:gridSpan w:val="2"/>
            <w:shd w:val="clear" w:color="auto" w:fill="auto"/>
          </w:tcPr>
          <w:p>
            <w:pPr>
              <w:jc w:val="both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5.2</w:t>
            </w:r>
            <w:r>
              <w:rPr>
                <w:rFonts w:hint="default"/>
                <w:sz w:val="20"/>
                <w:szCs w:val="20"/>
                <w:lang w:val="ru-RU"/>
              </w:rPr>
              <w:t xml:space="preserve"> Имеет правильное каллиграфическое письмо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wAfter w:w="0" w:type="auto"/>
          <w:trHeight w:val="288" w:hRule="atLeast"/>
        </w:trPr>
        <w:tc>
          <w:tcPr>
            <w:tcW w:w="17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12171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Основы базового иностранного языка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wAfter w:w="0" w:type="auto"/>
          <w:trHeight w:val="288" w:hRule="atLeast"/>
        </w:trPr>
        <w:tc>
          <w:tcPr>
            <w:tcW w:w="17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12171" w:type="dxa"/>
            <w:gridSpan w:val="7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Экзамен,тестовые зад</w:t>
            </w:r>
            <w:r>
              <w:rPr>
                <w:sz w:val="20"/>
                <w:szCs w:val="20"/>
                <w:lang w:val="ru-RU"/>
              </w:rPr>
              <w:t>ания</w:t>
            </w:r>
            <w:r>
              <w:rPr>
                <w:rFonts w:hint="default"/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</w:rPr>
              <w:t>междунар</w:t>
            </w:r>
            <w:r>
              <w:rPr>
                <w:sz w:val="20"/>
                <w:szCs w:val="20"/>
                <w:lang w:val="ru-RU"/>
              </w:rPr>
              <w:t>о</w:t>
            </w:r>
            <w:r>
              <w:rPr>
                <w:sz w:val="20"/>
                <w:szCs w:val="20"/>
              </w:rPr>
              <w:t xml:space="preserve">дного уровня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wAfter w:w="0" w:type="auto"/>
        </w:trPr>
        <w:tc>
          <w:tcPr>
            <w:tcW w:w="17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12171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сновная, дополнительная.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  <w:p>
            <w:pPr>
              <w:pStyle w:val="41"/>
              <w:widowControl w:val="0"/>
              <w:numPr>
                <w:ilvl w:val="0"/>
                <w:numId w:val="3"/>
              </w:numPr>
              <w:tabs>
                <w:tab w:val="left" w:pos="317"/>
                <w:tab w:val="left" w:pos="1093"/>
              </w:tabs>
              <w:autoSpaceDE w:val="0"/>
              <w:autoSpaceDN w:val="0"/>
              <w:spacing w:after="0" w:line="240" w:lineRule="auto"/>
              <w:ind w:left="240" w:leftChars="0" w:firstLine="0" w:firstLineChars="0"/>
              <w:contextualSpacing w:val="0"/>
              <w:rPr>
                <w:rFonts w:ascii="Times New Roman" w:hAnsi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Попова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>.,</w:t>
            </w:r>
            <w:r>
              <w:rPr>
                <w:rFonts w:ascii="Times New Roman" w:hAnsi="Times New Roman"/>
                <w:sz w:val="20"/>
                <w:szCs w:val="20"/>
              </w:rPr>
              <w:t>Казакова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>. Manuel de francais M.:20</w:t>
            </w:r>
            <w:r>
              <w:rPr>
                <w:rFonts w:hint="default" w:ascii="Times New Roman" w:hAnsi="Times New Roman"/>
                <w:sz w:val="20"/>
                <w:szCs w:val="20"/>
                <w:lang w:val="ru-RU"/>
              </w:rPr>
              <w:t>20</w:t>
            </w:r>
          </w:p>
          <w:p>
            <w:pPr>
              <w:pStyle w:val="41"/>
              <w:widowControl w:val="0"/>
              <w:numPr>
                <w:ilvl w:val="0"/>
                <w:numId w:val="3"/>
              </w:numPr>
              <w:tabs>
                <w:tab w:val="left" w:pos="317"/>
                <w:tab w:val="left" w:pos="1093"/>
              </w:tabs>
              <w:autoSpaceDE w:val="0"/>
              <w:autoSpaceDN w:val="0"/>
              <w:spacing w:after="0" w:line="240" w:lineRule="auto"/>
              <w:ind w:left="240" w:leftChars="0" w:firstLine="0" w:firstLineChars="0"/>
              <w:contextualSpacing w:val="0"/>
              <w:rPr>
                <w:rFonts w:ascii="Times New Roman" w:hAnsi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sz w:val="20"/>
                <w:szCs w:val="20"/>
                <w:lang w:val="fr-FR"/>
              </w:rPr>
              <w:t>Auge H., P.Martin Tout va bien 2015</w:t>
            </w:r>
          </w:p>
          <w:p>
            <w:pPr>
              <w:pStyle w:val="41"/>
              <w:widowControl w:val="0"/>
              <w:numPr>
                <w:ilvl w:val="0"/>
                <w:numId w:val="3"/>
              </w:numPr>
              <w:tabs>
                <w:tab w:val="left" w:pos="317"/>
                <w:tab w:val="left" w:pos="1093"/>
              </w:tabs>
              <w:autoSpaceDE w:val="0"/>
              <w:autoSpaceDN w:val="0"/>
              <w:spacing w:after="0" w:line="240" w:lineRule="auto"/>
              <w:ind w:left="240" w:leftChars="0" w:firstLine="0" w:firstLineChars="0"/>
              <w:contextualSpacing w:val="0"/>
              <w:rPr>
                <w:rFonts w:ascii="Times New Roman" w:hAnsi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sz w:val="20"/>
                <w:szCs w:val="20"/>
                <w:lang w:val="fr-FR"/>
              </w:rPr>
              <w:t>Comprehension orale A-C.Motron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>-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>464 p.Cle international, 201</w:t>
            </w:r>
            <w:r>
              <w:rPr>
                <w:rFonts w:hint="default"/>
                <w:sz w:val="20"/>
                <w:szCs w:val="20"/>
                <w:lang w:val="ru-RU"/>
              </w:rPr>
              <w:t>5</w:t>
            </w:r>
          </w:p>
          <w:p>
            <w:pPr>
              <w:pStyle w:val="41"/>
              <w:widowControl w:val="0"/>
              <w:numPr>
                <w:ilvl w:val="0"/>
                <w:numId w:val="3"/>
              </w:numPr>
              <w:tabs>
                <w:tab w:val="left" w:pos="317"/>
                <w:tab w:val="left" w:pos="1093"/>
              </w:tabs>
              <w:autoSpaceDE w:val="0"/>
              <w:autoSpaceDN w:val="0"/>
              <w:spacing w:after="0" w:line="240" w:lineRule="auto"/>
              <w:ind w:left="240" w:leftChars="0" w:firstLine="0" w:firstLineChars="0"/>
              <w:contextualSpacing w:val="0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Никольская И.Б.,Гольденберг Грамматика французского языка С-П 2</w:t>
            </w:r>
            <w:r>
              <w:rPr>
                <w:rFonts w:hint="default"/>
                <w:sz w:val="20"/>
                <w:szCs w:val="20"/>
                <w:lang w:val="ru-RU"/>
              </w:rPr>
              <w:t>016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0"/>
                <w:szCs w:val="20"/>
              </w:rPr>
            </w:pPr>
          </w:p>
          <w:p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Исследовательская инфраструктура</w:t>
            </w:r>
          </w:p>
          <w:p>
            <w:pPr>
              <w:numPr>
                <w:ilvl w:val="0"/>
                <w:numId w:val="4"/>
              </w:numPr>
              <w:rPr>
                <w:rFonts w:hint="default"/>
                <w:color w:val="000000" w:themeColor="text1"/>
                <w:sz w:val="20"/>
                <w:szCs w:val="20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sz w:val="20"/>
                <w:szCs w:val="20"/>
                <w:lang w:val="ru-RU"/>
                <w14:textFill>
                  <w14:solidFill>
                    <w14:schemeClr w14:val="tx1"/>
                  </w14:solidFill>
                </w14:textFill>
              </w:rPr>
              <w:t>Филологический факультет , кабинет синхронного перевода №306</w:t>
            </w:r>
          </w:p>
          <w:p>
            <w:pPr>
              <w:rPr>
                <w:rFonts w:hint="default"/>
                <w:color w:val="000000" w:themeColor="text1"/>
                <w:sz w:val="20"/>
                <w:szCs w:val="20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sz w:val="20"/>
                <w:szCs w:val="20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</w:p>
          <w:p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 xml:space="preserve">Профессиональные научные базы данных </w:t>
            </w:r>
          </w:p>
          <w:p>
            <w:pPr>
              <w:rPr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1.</w:t>
            </w:r>
          </w:p>
          <w:p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Style w:val="10"/>
                <w:rFonts w:hint="default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Интернет-ре</w:t>
            </w: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>сурсы</w:t>
            </w:r>
          </w:p>
          <w:p>
            <w:pPr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spacing w:line="272" w:lineRule="exact"/>
              <w:ind w:left="1534" w:leftChars="14" w:hanging="1500" w:hangingChars="750"/>
              <w:rPr>
                <w:sz w:val="20"/>
                <w:szCs w:val="20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1</w:t>
            </w:r>
            <w:r>
              <w:rPr>
                <w:sz w:val="20"/>
                <w:szCs w:val="20"/>
                <w:lang w:val="fr-FR"/>
              </w:rPr>
              <w:t>.https://Enseigner le francais avec TV 5Monde com.</w:t>
            </w:r>
            <w:r>
              <w:rPr>
                <w:rFonts w:hint="default"/>
                <w:sz w:val="20"/>
                <w:szCs w:val="20"/>
                <w:lang w:val="ru-RU"/>
              </w:rPr>
              <w:t xml:space="preserve">  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0"/>
                <w:szCs w:val="20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 xml:space="preserve">2. </w:t>
            </w:r>
            <w:r>
              <w:rPr>
                <w:sz w:val="20"/>
                <w:szCs w:val="20"/>
                <w:lang w:val="fr-FR"/>
              </w:rPr>
              <w:t>https</w:t>
            </w:r>
            <w:r>
              <w:rPr>
                <w:sz w:val="20"/>
                <w:szCs w:val="20"/>
              </w:rPr>
              <w:t>://</w:t>
            </w:r>
            <w:r>
              <w:rPr>
                <w:sz w:val="20"/>
                <w:szCs w:val="20"/>
                <w:lang w:val="fr-FR"/>
              </w:rPr>
              <w:t>bonjourdefrance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fr-FR"/>
              </w:rPr>
              <w:t>com</w:t>
            </w:r>
          </w:p>
          <w:p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Пр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ru-RU"/>
                <w14:textFill>
                  <w14:solidFill>
                    <w14:schemeClr w14:val="tx1"/>
                  </w14:solidFill>
                </w14:textFill>
              </w:rPr>
              <w:t>о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граммное обеспечение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1.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2.</w:t>
            </w:r>
          </w:p>
        </w:tc>
      </w:tr>
    </w:tbl>
    <w:p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rPr>
          <w:color w:val="000000"/>
          <w:sz w:val="20"/>
          <w:szCs w:val="20"/>
        </w:rPr>
      </w:pPr>
    </w:p>
    <w:tbl>
      <w:tblPr>
        <w:tblStyle w:val="9"/>
        <w:tblW w:w="19278" w:type="dxa"/>
        <w:tblInd w:w="-85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851"/>
        <w:gridCol w:w="851"/>
        <w:gridCol w:w="283"/>
        <w:gridCol w:w="1134"/>
        <w:gridCol w:w="1843"/>
        <w:gridCol w:w="3260"/>
        <w:gridCol w:w="5650"/>
        <w:gridCol w:w="540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5519" w:hRule="atLeast"/>
        </w:trPr>
        <w:tc>
          <w:tcPr>
            <w:tcW w:w="17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1217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r>
              <w:fldChar w:fldCharType="begin"/>
            </w:r>
            <w:r>
              <w:instrText xml:space="preserve"> HYPERLINK "https://univer.kaznu.kz/Content/instructions/%D0%90%D0%BA%D0%B0%D0%B4%D0%B5%D0%BC%D0%B8%D1%87%D0%B5%D1%81%D0%BA%D0%B0%D1%8F%20%D0%BF%D0%BE%D0%BB%D0%B8%D1%82%D0%B8%D0%BA%D0%B0.pdf" </w:instrText>
            </w:r>
            <w:r>
              <w:fldChar w:fldCharType="separate"/>
            </w:r>
            <w:r>
              <w:rPr>
                <w:rStyle w:val="10"/>
                <w:sz w:val="20"/>
                <w:szCs w:val="20"/>
                <w:u w:val="single"/>
              </w:rPr>
              <w:t>Академической политикой</w:t>
            </w:r>
            <w:r>
              <w:rPr>
                <w:rStyle w:val="10"/>
                <w:sz w:val="20"/>
                <w:szCs w:val="20"/>
                <w:u w:val="single"/>
              </w:rPr>
              <w:fldChar w:fldCharType="end"/>
            </w:r>
            <w:r>
              <w:rPr>
                <w:rStyle w:val="10"/>
                <w:sz w:val="20"/>
                <w:szCs w:val="20"/>
                <w:u w:val="single"/>
              </w:rPr>
              <w:t xml:space="preserve"> и </w:t>
            </w:r>
            <w:r>
              <w:fldChar w:fldCharType="begin"/>
            </w:r>
            <w:r>
              <w:instrText xml:space="preserve"> HYPERLINK "https://univer.kaznu.kz/Content/instructions/%D0%9F%D0%BE%D0%BB%D0%B8%D1%82%D0%B8%D0%BA%D0%B0%20%D0%B0%D0%BA%D0%B0%D0%B4%D0%B5%D0%BC%D0%B8%D1%87%D0%B5%D1%81%D0%BA%D0%BE%D0%B9%20%D1%87%D0%B5%D1%81%D1%82%D0%BD%D0%BE%D1%81%D1%82%D0%B8.pdf" </w:instrText>
            </w:r>
            <w:r>
              <w:fldChar w:fldCharType="separate"/>
            </w:r>
            <w:r>
              <w:rPr>
                <w:rStyle w:val="10"/>
                <w:sz w:val="20"/>
                <w:szCs w:val="20"/>
                <w:u w:val="single"/>
              </w:rPr>
              <w:t>Политикой академической честности КазНУ имени аль-Фараби.</w:t>
            </w:r>
            <w:r>
              <w:rPr>
                <w:rStyle w:val="10"/>
                <w:sz w:val="20"/>
                <w:szCs w:val="20"/>
                <w:u w:val="single"/>
              </w:rPr>
              <w:fldChar w:fldCharType="end"/>
            </w:r>
            <w:r>
              <w:rPr>
                <w:sz w:val="20"/>
                <w:szCs w:val="20"/>
              </w:rPr>
              <w:t xml:space="preserve"> </w:t>
            </w:r>
          </w:p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r>
              <w:rPr>
                <w:sz w:val="20"/>
                <w:szCs w:val="20"/>
                <w:lang w:val="en-US"/>
              </w:rPr>
              <w:t>Univer</w:t>
            </w:r>
            <w:r>
              <w:rPr>
                <w:sz w:val="20"/>
                <w:szCs w:val="20"/>
              </w:rPr>
              <w:t>.</w:t>
            </w:r>
          </w:p>
          <w:p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заданий.</w:t>
            </w:r>
          </w:p>
          <w:p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Посещаемость. </w:t>
            </w:r>
            <w:r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rStyle w:val="10"/>
                <w:b/>
                <w:bCs/>
                <w:sz w:val="20"/>
                <w:szCs w:val="20"/>
              </w:rPr>
              <w:t>Академическая честность.</w:t>
            </w:r>
            <w:r>
              <w:rPr>
                <w:rStyle w:val="10"/>
              </w:rPr>
              <w:t xml:space="preserve"> </w:t>
            </w:r>
            <w:r>
              <w:rPr>
                <w:sz w:val="20"/>
                <w:szCs w:val="20"/>
              </w:rPr>
              <w:t>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r>
              <w:fldChar w:fldCharType="begin"/>
            </w:r>
            <w:r>
              <w:instrText xml:space="preserve"> HYPERLINK 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</w:instrText>
            </w:r>
            <w:r>
              <w:fldChar w:fldCharType="separate"/>
            </w:r>
            <w:r>
              <w:rPr>
                <w:rStyle w:val="10"/>
                <w:sz w:val="20"/>
                <w:szCs w:val="20"/>
                <w:u w:val="single"/>
              </w:rPr>
              <w:t>«Правила проведения итогового контроля»</w:t>
            </w:r>
            <w:r>
              <w:rPr>
                <w:rStyle w:val="10"/>
                <w:sz w:val="20"/>
                <w:szCs w:val="20"/>
                <w:u w:val="single"/>
              </w:rPr>
              <w:fldChar w:fldCharType="end"/>
            </w:r>
            <w:r>
              <w:rPr>
                <w:sz w:val="20"/>
                <w:szCs w:val="20"/>
                <w:u w:val="single"/>
              </w:rPr>
              <w:t xml:space="preserve">, </w:t>
            </w:r>
            <w:r>
              <w:fldChar w:fldCharType="begin"/>
            </w:r>
            <w:r>
              <w:instrText xml:space="preserve"> HYPERLINK 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</w:instrText>
            </w:r>
            <w:r>
              <w:fldChar w:fldCharType="separate"/>
            </w:r>
            <w:r>
              <w:rPr>
                <w:rStyle w:val="10"/>
                <w:sz w:val="20"/>
                <w:szCs w:val="20"/>
                <w:u w:val="single"/>
              </w:rPr>
              <w:t>«Инструкции для проведения итогового контроля осеннего/весеннего семестра текущего учебного года»</w:t>
            </w:r>
            <w:r>
              <w:rPr>
                <w:rStyle w:val="10"/>
                <w:sz w:val="20"/>
                <w:szCs w:val="20"/>
                <w:u w:val="single"/>
              </w:rPr>
              <w:fldChar w:fldCharType="end"/>
            </w:r>
            <w:r>
              <w:rPr>
                <w:rStyle w:val="10"/>
                <w:sz w:val="20"/>
                <w:szCs w:val="20"/>
                <w:u w:val="single"/>
              </w:rPr>
              <w:t>,</w:t>
            </w:r>
            <w:r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r>
              <w:rPr>
                <w:sz w:val="20"/>
                <w:szCs w:val="20"/>
                <w:lang w:val="en-US"/>
              </w:rPr>
              <w:t>Univer</w:t>
            </w:r>
            <w:r>
              <w:rPr>
                <w:sz w:val="20"/>
                <w:szCs w:val="20"/>
              </w:rPr>
              <w:t>.</w:t>
            </w:r>
          </w:p>
          <w:p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Основные принципы инклюзивного образования. </w:t>
            </w:r>
            <w:r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телефону/ е-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FF0000"/>
                <w:sz w:val="20"/>
                <w:szCs w:val="20"/>
                <w:u w:val="single"/>
              </w:rPr>
              <w:t>внесите контакты преподавателя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либо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iCs/>
                <w:sz w:val="20"/>
                <w:szCs w:val="20"/>
              </w:rPr>
              <w:t xml:space="preserve">посредством </w:t>
            </w:r>
            <w:r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>
              <w:rPr>
                <w:iCs/>
                <w:sz w:val="20"/>
                <w:szCs w:val="20"/>
                <w:lang w:val="en-US"/>
              </w:rPr>
              <w:t>MS</w:t>
            </w:r>
            <w:r>
              <w:rPr>
                <w:iCs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  <w:lang w:val="en-US"/>
              </w:rPr>
              <w:t>Teams</w:t>
            </w:r>
            <w:r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color w:val="FF0000"/>
                <w:sz w:val="20"/>
                <w:szCs w:val="20"/>
                <w:u w:val="single"/>
              </w:rPr>
              <w:t>внесите постоянную ссылку на собрание.</w:t>
            </w:r>
          </w:p>
          <w:p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Интеграция</w:t>
            </w:r>
            <w:r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</w:rPr>
              <w:t>МОО</w:t>
            </w:r>
            <w:r>
              <w:rPr>
                <w:b/>
                <w:sz w:val="20"/>
                <w:szCs w:val="20"/>
                <w:lang w:val="en-US"/>
              </w:rPr>
              <w:t xml:space="preserve">C (massive open online course). </w:t>
            </w:r>
            <w:r>
              <w:rPr>
                <w:sz w:val="20"/>
                <w:szCs w:val="20"/>
              </w:rPr>
              <w:t xml:space="preserve">В случае интеграции </w:t>
            </w:r>
            <w:r>
              <w:rPr>
                <w:bCs/>
                <w:sz w:val="20"/>
                <w:szCs w:val="20"/>
              </w:rPr>
              <w:t>МОО</w:t>
            </w:r>
            <w:r>
              <w:rPr>
                <w:bCs/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 в дисциплину, всем обучающимся необходимо зарегистрироваться на МОО</w:t>
            </w: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. Сроки прохождения модулей </w:t>
            </w:r>
            <w:r>
              <w:rPr>
                <w:bCs/>
                <w:sz w:val="20"/>
                <w:szCs w:val="20"/>
              </w:rPr>
              <w:t>МОО</w:t>
            </w:r>
            <w:r>
              <w:rPr>
                <w:bCs/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</w:p>
          <w:p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ВНИМАНИЕ! </w:t>
            </w:r>
            <w:r>
              <w:rPr>
                <w:sz w:val="20"/>
                <w:szCs w:val="20"/>
              </w:rPr>
              <w:t>Дедлайн каждого задания указан в календаре (графике) реализации содержания дисциплины, а также в МОО</w:t>
            </w: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  <w:tc>
          <w:tcPr>
            <w:tcW w:w="5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5406" w:type="dxa"/>
          <w:trHeight w:val="58" w:hRule="atLeast"/>
        </w:trPr>
        <w:tc>
          <w:tcPr>
            <w:tcW w:w="1387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BE5F1" w:themeFill="accent1" w:themeFillTint="33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5406" w:type="dxa"/>
          <w:trHeight w:val="368" w:hRule="atLeast"/>
        </w:trPr>
        <w:tc>
          <w:tcPr>
            <w:tcW w:w="4962" w:type="dxa"/>
            <w:gridSpan w:val="5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8910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Методы оценивания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5406" w:type="dxa"/>
          <w:trHeight w:val="846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эквивалент</w:t>
            </w:r>
          </w:p>
          <w:p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Баллы, </w:t>
            </w:r>
          </w:p>
          <w:p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% содержание 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 по традиционной системе</w:t>
            </w:r>
          </w:p>
        </w:tc>
        <w:tc>
          <w:tcPr>
            <w:tcW w:w="891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Критериальное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формативном и суммативном оценивании.</w:t>
            </w:r>
          </w:p>
          <w:p>
            <w:pPr>
              <w:jc w:val="both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Формативное оценивание – </w:t>
            </w:r>
            <w:r>
              <w:rPr>
                <w:sz w:val="16"/>
                <w:szCs w:val="16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Суммативное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>
              <w:rPr>
                <w:bCs/>
                <w:sz w:val="16"/>
                <w:szCs w:val="16"/>
                <w:lang w:val="ru-RU"/>
              </w:rPr>
              <w:t>СР</w:t>
            </w:r>
            <w:r>
              <w:rPr>
                <w:bCs/>
                <w:color w:val="FF0000"/>
                <w:sz w:val="16"/>
                <w:szCs w:val="16"/>
              </w:rPr>
              <w:t>.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5406" w:type="dxa"/>
          <w:trHeight w:val="359" w:hRule="atLeast"/>
        </w:trPr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4</w:t>
            </w:r>
            <w:r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Отлично</w:t>
            </w:r>
          </w:p>
        </w:tc>
        <w:tc>
          <w:tcPr>
            <w:tcW w:w="8910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5406" w:type="dxa"/>
          <w:trHeight w:val="359" w:hRule="atLeast"/>
        </w:trPr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8910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5406" w:type="dxa"/>
          <w:trHeight w:val="973" w:hRule="atLeast"/>
        </w:trPr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Хорошо</w:t>
            </w:r>
          </w:p>
        </w:tc>
        <w:tc>
          <w:tcPr>
            <w:tcW w:w="8910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5406" w:type="dxa"/>
          <w:trHeight w:val="215" w:hRule="atLeast"/>
        </w:trPr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суммативное оценивание</w:t>
            </w:r>
          </w:p>
          <w:p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650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 % содержание</w:t>
            </w:r>
          </w:p>
          <w:p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 xml:space="preserve">Преподаватель вносит свою разбалловку в пункты в соответствии с календарем (графиком). </w:t>
            </w:r>
          </w:p>
          <w:p>
            <w:pPr>
              <w:rPr>
                <w:color w:val="FF0000"/>
                <w:sz w:val="16"/>
                <w:szCs w:val="16"/>
                <w:u w:val="single"/>
              </w:rPr>
            </w:pPr>
            <w:r>
              <w:rPr>
                <w:color w:val="FF0000"/>
                <w:sz w:val="16"/>
                <w:szCs w:val="16"/>
                <w:u w:val="single"/>
              </w:rPr>
              <w:t xml:space="preserve">Не изменяются экзамен </w:t>
            </w:r>
          </w:p>
          <w:p>
            <w:pPr>
              <w:rPr>
                <w:b/>
                <w:bCs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u w:val="single"/>
              </w:rPr>
              <w:t>и итоговый балл по дисциплине.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5406" w:type="dxa"/>
          <w:trHeight w:val="135" w:hRule="atLeast"/>
        </w:trPr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5650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5406" w:type="dxa"/>
          <w:trHeight w:val="51" w:hRule="atLeast"/>
        </w:trPr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5650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20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5406" w:type="dxa"/>
          <w:trHeight w:val="181" w:hRule="atLeast"/>
        </w:trPr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5650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</w:rPr>
              <w:t>2</w:t>
            </w:r>
            <w:r>
              <w:rPr>
                <w:color w:val="FF0000"/>
                <w:sz w:val="16"/>
                <w:szCs w:val="16"/>
                <w:lang w:val="kk-KZ"/>
              </w:rPr>
              <w:t>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5406" w:type="dxa"/>
          <w:trHeight w:val="87" w:hRule="atLeast"/>
        </w:trPr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5650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10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5406" w:type="dxa"/>
          <w:trHeight w:val="250" w:hRule="atLeast"/>
        </w:trPr>
        <w:tc>
          <w:tcPr>
            <w:tcW w:w="851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Итоговый контроль (экзамен)                                                         </w:t>
            </w:r>
          </w:p>
        </w:tc>
        <w:tc>
          <w:tcPr>
            <w:tcW w:w="5650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5406" w:type="dxa"/>
          <w:trHeight w:val="315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5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100 </w:t>
            </w:r>
          </w:p>
        </w:tc>
      </w:tr>
    </w:tbl>
    <w:p>
      <w:pPr>
        <w:ind w:firstLine="1100" w:firstLineChars="550"/>
        <w:rPr>
          <w:sz w:val="20"/>
          <w:szCs w:val="20"/>
          <w:lang w:val="kk-KZ"/>
        </w:rPr>
      </w:pPr>
    </w:p>
    <w:p>
      <w:pPr>
        <w:jc w:val="both"/>
        <w:rPr>
          <w:b/>
        </w:rPr>
      </w:pPr>
      <w:r>
        <w:rPr>
          <w:rFonts w:hint="default"/>
          <w:sz w:val="20"/>
          <w:szCs w:val="20"/>
          <w:lang w:val="ru-RU"/>
        </w:rPr>
        <w:t xml:space="preserve">  </w:t>
      </w:r>
      <w:r>
        <w:t xml:space="preserve">                               </w:t>
      </w:r>
      <w:r>
        <w:rPr>
          <w:b/>
        </w:rPr>
        <w:t xml:space="preserve">  </w:t>
      </w:r>
    </w:p>
    <w:tbl>
      <w:tblPr>
        <w:tblStyle w:val="9"/>
        <w:tblpPr w:leftFromText="180" w:rightFromText="180" w:vertAnchor="text" w:tblpY="1"/>
        <w:tblOverlap w:val="never"/>
        <w:tblW w:w="1300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3"/>
        <w:gridCol w:w="2041"/>
        <w:gridCol w:w="3939"/>
        <w:gridCol w:w="6"/>
        <w:gridCol w:w="14"/>
        <w:gridCol w:w="1981"/>
        <w:gridCol w:w="39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123" w:type="dxa"/>
          </w:tcPr>
          <w:p>
            <w:pPr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Неделя</w:t>
            </w:r>
          </w:p>
        </w:tc>
        <w:tc>
          <w:tcPr>
            <w:tcW w:w="6000" w:type="dxa"/>
            <w:gridSpan w:val="4"/>
          </w:tcPr>
          <w:p>
            <w:pPr>
              <w:ind w:left="2881" w:hanging="2881" w:hangingChars="1200"/>
              <w:rPr>
                <w:rFonts w:hint="default"/>
                <w:b/>
                <w:bCs/>
                <w:lang w:val="en-US"/>
              </w:rPr>
            </w:pPr>
            <w:r>
              <w:rPr>
                <w:b/>
                <w:bCs/>
              </w:rPr>
              <w:t xml:space="preserve">              Название темы</w:t>
            </w:r>
            <w:r>
              <w:rPr>
                <w:rFonts w:hint="default"/>
                <w:b/>
                <w:bCs/>
                <w:lang w:val="en-US"/>
              </w:rPr>
              <w:t xml:space="preserve"> </w:t>
            </w:r>
            <w:r>
              <w:rPr>
                <w:rFonts w:hint="default"/>
                <w:b/>
                <w:bCs/>
                <w:lang w:val="ru-RU"/>
              </w:rPr>
              <w:t xml:space="preserve"> Модуль 1</w:t>
            </w:r>
            <w:r>
              <w:rPr>
                <w:rFonts w:hint="default"/>
                <w:b/>
                <w:bCs/>
                <w:lang w:val="en-US"/>
              </w:rPr>
              <w:t xml:space="preserve">  Faire connaissance</w:t>
            </w:r>
          </w:p>
        </w:tc>
        <w:tc>
          <w:tcPr>
            <w:tcW w:w="1981" w:type="dxa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Кол-во часов</w:t>
            </w:r>
          </w:p>
        </w:tc>
        <w:tc>
          <w:tcPr>
            <w:tcW w:w="3905" w:type="dxa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Макс</w:t>
            </w:r>
            <w:r>
              <w:rPr>
                <w:b/>
                <w:bCs/>
                <w:lang w:val="fr-FR"/>
              </w:rPr>
              <w:t xml:space="preserve"> </w:t>
            </w:r>
            <w:r>
              <w:rPr>
                <w:b/>
                <w:bCs/>
              </w:rPr>
              <w:t>балл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</w:trPr>
        <w:tc>
          <w:tcPr>
            <w:tcW w:w="1123" w:type="dxa"/>
          </w:tcPr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</w:t>
            </w:r>
          </w:p>
        </w:tc>
        <w:tc>
          <w:tcPr>
            <w:tcW w:w="6000" w:type="dxa"/>
            <w:gridSpan w:val="4"/>
          </w:tcPr>
          <w:p>
            <w:pPr>
              <w:pStyle w:val="14"/>
              <w:widowControl/>
              <w:autoSpaceDE/>
              <w:autoSpaceDN/>
              <w:ind w:left="170"/>
              <w:jc w:val="both"/>
              <w:rPr>
                <w:i/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Salutations</w:t>
            </w:r>
            <w:r>
              <w:rPr>
                <w:i/>
                <w:sz w:val="20"/>
                <w:szCs w:val="20"/>
                <w:lang w:val="fr-FR"/>
              </w:rPr>
              <w:t xml:space="preserve">. </w:t>
            </w:r>
            <w:r>
              <w:rPr>
                <w:sz w:val="20"/>
                <w:szCs w:val="20"/>
                <w:lang w:val="fr-FR"/>
              </w:rPr>
              <w:t>Présentation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1. Les verbes “s` appeler”, 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Questions:</w:t>
            </w:r>
          </w:p>
          <w:p>
            <w:pPr>
              <w:rPr>
                <w:lang w:val="kk-KZ"/>
              </w:rPr>
            </w:pPr>
            <w:r>
              <w:rPr>
                <w:sz w:val="20"/>
                <w:szCs w:val="20"/>
                <w:lang w:val="fr-FR"/>
              </w:rPr>
              <w:t>-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Vous comprenez?</w:t>
            </w:r>
          </w:p>
        </w:tc>
        <w:tc>
          <w:tcPr>
            <w:tcW w:w="1981" w:type="dxa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05" w:type="dxa"/>
          </w:tcPr>
          <w:p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3</w:t>
            </w:r>
          </w:p>
          <w:p>
            <w:pPr>
              <w:rPr>
                <w:sz w:val="20"/>
                <w:szCs w:val="20"/>
                <w:lang w:val="fr-FR"/>
              </w:rPr>
            </w:pPr>
          </w:p>
          <w:p>
            <w:pPr>
              <w:jc w:val="both"/>
              <w:rPr>
                <w:sz w:val="20"/>
                <w:szCs w:val="20"/>
                <w:lang w:val="fr-F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2" w:hRule="atLeast"/>
        </w:trPr>
        <w:tc>
          <w:tcPr>
            <w:tcW w:w="1123" w:type="dxa"/>
            <w:tcBorders>
              <w:bottom w:val="single" w:color="auto" w:sz="4" w:space="0"/>
            </w:tcBorders>
          </w:tcPr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</w:t>
            </w:r>
          </w:p>
        </w:tc>
        <w:tc>
          <w:tcPr>
            <w:tcW w:w="6000" w:type="dxa"/>
            <w:gridSpan w:val="4"/>
            <w:tcBorders>
              <w:bottom w:val="single" w:color="auto" w:sz="4" w:space="0"/>
            </w:tcBorders>
          </w:tcPr>
          <w:p>
            <w:pPr>
              <w:jc w:val="both"/>
              <w:rPr>
                <w:i/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Premiers mots en français 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“être”, “comprendre”, “parler”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Négation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- Qu</w:t>
            </w:r>
            <w:r>
              <w:rPr>
                <w:rFonts w:hint="default"/>
                <w:sz w:val="20"/>
                <w:szCs w:val="20"/>
                <w:lang w:val="en-US"/>
              </w:rPr>
              <w:t>’</w:t>
            </w:r>
            <w:r>
              <w:rPr>
                <w:sz w:val="20"/>
                <w:szCs w:val="20"/>
                <w:lang w:val="fr-FR"/>
              </w:rPr>
              <w:t xml:space="preserve"> est-ce que c`est? </w:t>
            </w:r>
          </w:p>
          <w:p>
            <w:pPr>
              <w:jc w:val="both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fr-FR"/>
              </w:rPr>
              <w:t>- Qu` est-ce que vous faites?</w:t>
            </w:r>
            <w:r>
              <w:rPr>
                <w:rFonts w:hint="default"/>
                <w:b w:val="0"/>
                <w:bCs w:val="0"/>
                <w:sz w:val="20"/>
                <w:szCs w:val="20"/>
                <w:lang w:val="ru-RU"/>
              </w:rPr>
              <w:t xml:space="preserve"> </w:t>
            </w:r>
            <w:r>
              <w:rPr>
                <w:rFonts w:hint="default"/>
                <w:b/>
                <w:bCs/>
                <w:sz w:val="20"/>
                <w:szCs w:val="20"/>
                <w:lang w:val="ru-RU"/>
              </w:rPr>
              <w:t>СРОП1.Консультация по СРО1</w:t>
            </w:r>
          </w:p>
        </w:tc>
        <w:tc>
          <w:tcPr>
            <w:tcW w:w="1981" w:type="dxa"/>
            <w:tcBorders>
              <w:bottom w:val="single" w:color="auto" w:sz="4" w:space="0"/>
            </w:tcBorders>
          </w:tcPr>
          <w:p>
            <w:pPr>
              <w:jc w:val="both"/>
              <w:rPr>
                <w:sz w:val="20"/>
                <w:szCs w:val="20"/>
                <w:lang w:val="fr-FR"/>
              </w:rPr>
            </w:pPr>
          </w:p>
          <w:p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3905" w:type="dxa"/>
            <w:tcBorders>
              <w:bottom w:val="single" w:color="auto" w:sz="4" w:space="0"/>
            </w:tcBorders>
          </w:tcPr>
          <w:p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84" w:hRule="atLeast"/>
        </w:trPr>
        <w:tc>
          <w:tcPr>
            <w:tcW w:w="1123" w:type="dxa"/>
            <w:tcBorders>
              <w:top w:val="single" w:color="auto" w:sz="4" w:space="0"/>
            </w:tcBorders>
          </w:tcPr>
          <w:p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>
            <w:pPr>
              <w:jc w:val="both"/>
              <w:rPr>
                <w:sz w:val="20"/>
                <w:szCs w:val="20"/>
                <w:lang w:val="en-US"/>
              </w:rPr>
            </w:pPr>
          </w:p>
          <w:p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000" w:type="dxa"/>
            <w:gridSpan w:val="4"/>
            <w:tcBorders>
              <w:top w:val="single" w:color="auto" w:sz="4" w:space="0"/>
            </w:tcBorders>
          </w:tcPr>
          <w:p>
            <w:pPr>
              <w:pStyle w:val="14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Information sur l`identité et l`état civil.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1. Verbes: “aimer”, 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Présent.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1. La profession 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Présentation de qn.</w:t>
            </w:r>
          </w:p>
          <w:p>
            <w:pPr>
              <w:pStyle w:val="14"/>
              <w:ind w:left="-10"/>
              <w:rPr>
                <w:sz w:val="20"/>
                <w:szCs w:val="20"/>
                <w:lang w:val="fr-FR"/>
              </w:rPr>
            </w:pPr>
            <w:r>
              <w:rPr>
                <w:i/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  <w:lang w:val="fr-FR"/>
              </w:rPr>
              <w:t xml:space="preserve">Tout nouveau, tout beau p. 6 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 groupe du nom – masculin ou feminin.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Jours, mois, nombres</w:t>
            </w:r>
          </w:p>
          <w:p>
            <w:pPr>
              <w:jc w:val="both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/>
                <w:b/>
                <w:bCs/>
                <w:sz w:val="20"/>
                <w:szCs w:val="20"/>
                <w:lang w:val="ru-RU"/>
              </w:rPr>
              <w:t>СРО1</w:t>
            </w:r>
            <w:r>
              <w:rPr>
                <w:rFonts w:hint="default"/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rFonts w:hint="default"/>
                <w:sz w:val="20"/>
                <w:szCs w:val="20"/>
                <w:lang w:val="en-US"/>
              </w:rPr>
              <w:t>Test lexico-grammatical sur le theme appris</w:t>
            </w:r>
          </w:p>
        </w:tc>
        <w:tc>
          <w:tcPr>
            <w:tcW w:w="1981" w:type="dxa"/>
            <w:tcBorders>
              <w:top w:val="single" w:color="auto" w:sz="4" w:space="0"/>
            </w:tcBorders>
          </w:tcPr>
          <w:p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3905" w:type="dxa"/>
            <w:tcBorders>
              <w:top w:val="single" w:color="auto" w:sz="4" w:space="0"/>
            </w:tcBorders>
          </w:tcPr>
          <w:p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  <w:p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32" w:hRule="atLeast"/>
        </w:trPr>
        <w:tc>
          <w:tcPr>
            <w:tcW w:w="1123" w:type="dxa"/>
            <w:tcBorders>
              <w:right w:val="nil"/>
            </w:tcBorders>
          </w:tcPr>
          <w:p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  <w:p>
            <w:pPr>
              <w:pStyle w:val="14"/>
              <w:ind w:left="-10"/>
              <w:rPr>
                <w:sz w:val="20"/>
                <w:szCs w:val="20"/>
                <w:lang w:val="fr-FR"/>
              </w:rPr>
            </w:pPr>
          </w:p>
          <w:p>
            <w:pPr>
              <w:pStyle w:val="14"/>
              <w:ind w:left="-10"/>
              <w:rPr>
                <w:i/>
                <w:sz w:val="20"/>
                <w:szCs w:val="20"/>
                <w:lang w:val="fr-FR"/>
              </w:rPr>
            </w:pPr>
          </w:p>
          <w:p>
            <w:pPr>
              <w:pStyle w:val="14"/>
              <w:ind w:left="-10"/>
              <w:rPr>
                <w:i/>
                <w:sz w:val="20"/>
                <w:szCs w:val="20"/>
                <w:lang w:val="fr-FR"/>
              </w:rPr>
            </w:pPr>
          </w:p>
          <w:p>
            <w:pPr>
              <w:pStyle w:val="14"/>
              <w:ind w:left="-10"/>
              <w:rPr>
                <w:i/>
                <w:sz w:val="20"/>
                <w:szCs w:val="20"/>
                <w:lang w:val="fr-FR"/>
              </w:rPr>
            </w:pPr>
          </w:p>
          <w:p>
            <w:pPr>
              <w:pStyle w:val="14"/>
              <w:ind w:left="-10"/>
              <w:rPr>
                <w:i/>
                <w:sz w:val="20"/>
                <w:szCs w:val="20"/>
                <w:lang w:val="fr-FR"/>
              </w:rPr>
            </w:pPr>
          </w:p>
        </w:tc>
        <w:tc>
          <w:tcPr>
            <w:tcW w:w="2041" w:type="dxa"/>
            <w:tcBorders>
              <w:right w:val="nil"/>
            </w:tcBorders>
          </w:tcPr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1. Les articles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Caractériser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Demander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Le groupe du nom – singulier ou pluriel</w:t>
            </w:r>
          </w:p>
          <w:p>
            <w:pPr>
              <w:jc w:val="both"/>
              <w:rPr>
                <w:i/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en-US"/>
              </w:rPr>
              <w:t>Répondre</w:t>
            </w:r>
          </w:p>
        </w:tc>
        <w:tc>
          <w:tcPr>
            <w:tcW w:w="3959" w:type="dxa"/>
            <w:gridSpan w:val="3"/>
            <w:tcBorders>
              <w:left w:val="nil"/>
            </w:tcBorders>
          </w:tcPr>
          <w:p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981" w:type="dxa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05" w:type="dxa"/>
          </w:tcPr>
          <w:p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46" w:hRule="atLeast"/>
        </w:trPr>
        <w:tc>
          <w:tcPr>
            <w:tcW w:w="1123" w:type="dxa"/>
          </w:tcPr>
          <w:p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6000" w:type="dxa"/>
            <w:gridSpan w:val="4"/>
          </w:tcPr>
          <w:p>
            <w:pPr>
              <w:pStyle w:val="14"/>
              <w:ind w:left="-10"/>
              <w:rPr>
                <w:i/>
                <w:sz w:val="20"/>
                <w:szCs w:val="20"/>
                <w:lang w:val="fr-FR"/>
              </w:rPr>
            </w:pPr>
          </w:p>
          <w:p>
            <w:pPr>
              <w:pStyle w:val="14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Ma famille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L`inferrogation et la négation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Demander une information</w:t>
            </w:r>
          </w:p>
          <w:p>
            <w:pPr>
              <w:pStyle w:val="14"/>
              <w:ind w:left="-10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Vive la liberté. P.</w:t>
            </w:r>
          </w:p>
          <w:p>
            <w:pPr>
              <w:pStyle w:val="14"/>
              <w:ind w:left="-10"/>
              <w:rPr>
                <w:i/>
                <w:sz w:val="20"/>
                <w:szCs w:val="20"/>
                <w:lang w:val="de-DE"/>
              </w:rPr>
            </w:pPr>
          </w:p>
          <w:p>
            <w:pPr>
              <w:pStyle w:val="14"/>
              <w:ind w:left="-10"/>
              <w:rPr>
                <w:i/>
                <w:sz w:val="20"/>
                <w:szCs w:val="20"/>
                <w:lang w:val="de-DE"/>
              </w:rPr>
            </w:pPr>
          </w:p>
          <w:p>
            <w:pPr>
              <w:pStyle w:val="14"/>
              <w:ind w:left="-10"/>
              <w:rPr>
                <w:i/>
                <w:sz w:val="20"/>
                <w:szCs w:val="20"/>
                <w:lang w:val="de-DE"/>
              </w:rPr>
            </w:pP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Verbes: aller-venir - faire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Prépositions</w:t>
            </w:r>
          </w:p>
          <w:p>
            <w:pPr>
              <w:pStyle w:val="14"/>
              <w:ind w:left="1690" w:leftChars="-4" w:hanging="1700" w:hangingChars="85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Les loisirs</w:t>
            </w:r>
            <w:r>
              <w:rPr>
                <w:rFonts w:hint="default"/>
                <w:sz w:val="20"/>
                <w:szCs w:val="20"/>
                <w:lang w:val="ru-RU"/>
              </w:rPr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81" w:type="dxa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905" w:type="dxa"/>
          </w:tcPr>
          <w:p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1" w:hRule="atLeast"/>
        </w:trPr>
        <w:tc>
          <w:tcPr>
            <w:tcW w:w="1123" w:type="dxa"/>
          </w:tcPr>
          <w:p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000" w:type="dxa"/>
            <w:gridSpan w:val="4"/>
          </w:tcPr>
          <w:p>
            <w:pPr>
              <w:pStyle w:val="14"/>
              <w:ind w:left="1690" w:leftChars="-4" w:hanging="1700" w:hangingChars="850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/>
                <w:sz w:val="20"/>
                <w:szCs w:val="20"/>
                <w:lang w:val="en-US"/>
              </w:rPr>
              <w:t xml:space="preserve">                                 </w:t>
            </w:r>
            <w:r>
              <w:rPr>
                <w:rFonts w:hint="default"/>
                <w:b/>
                <w:bCs/>
                <w:sz w:val="24"/>
                <w:szCs w:val="24"/>
                <w:lang w:val="ru-RU"/>
              </w:rPr>
              <w:t xml:space="preserve">Модуль 2 </w:t>
            </w:r>
            <w:r>
              <w:rPr>
                <w:rFonts w:hint="default"/>
                <w:b/>
                <w:bCs/>
                <w:sz w:val="24"/>
                <w:szCs w:val="24"/>
                <w:lang w:val="en-US"/>
              </w:rPr>
              <w:t>Faire connaissance</w:t>
            </w:r>
            <w:r>
              <w:rPr>
                <w:rFonts w:hint="default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981" w:type="dxa"/>
          </w:tcPr>
          <w:p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905" w:type="dxa"/>
          </w:tcPr>
          <w:p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79" w:hRule="atLeast"/>
        </w:trPr>
        <w:tc>
          <w:tcPr>
            <w:tcW w:w="1123" w:type="dxa"/>
          </w:tcPr>
          <w:p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6000" w:type="dxa"/>
            <w:gridSpan w:val="4"/>
          </w:tcPr>
          <w:p>
            <w:pPr>
              <w:pStyle w:val="14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Ma biographie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 present de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Les gouts et les préférences</w:t>
            </w:r>
          </w:p>
          <w:p>
            <w:pPr>
              <w:pStyle w:val="14"/>
              <w:ind w:left="-1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Ma ville natale</w:t>
            </w:r>
          </w:p>
          <w:p>
            <w:pPr>
              <w:jc w:val="both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en-US"/>
              </w:rPr>
              <w:t>L`indicatif</w:t>
            </w:r>
            <w:r>
              <w:rPr>
                <w:rFonts w:hint="default"/>
                <w:sz w:val="20"/>
                <w:szCs w:val="20"/>
                <w:lang w:val="ru-RU"/>
              </w:rPr>
              <w:t xml:space="preserve"> </w:t>
            </w:r>
          </w:p>
          <w:p>
            <w:pPr>
              <w:jc w:val="both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b/>
                <w:bCs/>
                <w:sz w:val="20"/>
                <w:szCs w:val="20"/>
                <w:lang w:val="ru-RU"/>
              </w:rPr>
              <w:t>СРОП2.Консультация по СРО2</w:t>
            </w:r>
          </w:p>
          <w:p>
            <w:pPr>
              <w:jc w:val="both"/>
              <w:rPr>
                <w:sz w:val="20"/>
                <w:szCs w:val="20"/>
                <w:lang w:val="en-US"/>
              </w:rPr>
            </w:pPr>
          </w:p>
          <w:p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981" w:type="dxa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05" w:type="dxa"/>
          </w:tcPr>
          <w:p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1123" w:type="dxa"/>
          </w:tcPr>
          <w:p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  <w:p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986" w:type="dxa"/>
            <w:gridSpan w:val="3"/>
          </w:tcPr>
          <w:p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Mes parents</w:t>
            </w:r>
          </w:p>
          <w:p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La conjugaison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des verbes(III</w:t>
            </w:r>
          </w:p>
          <w:p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Demander une information</w:t>
            </w:r>
          </w:p>
          <w:p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995" w:type="dxa"/>
            <w:gridSpan w:val="2"/>
          </w:tcPr>
          <w:p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  <w:p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905" w:type="dxa"/>
          </w:tcPr>
          <w:p>
            <w:pPr>
              <w:rPr>
                <w:sz w:val="20"/>
                <w:szCs w:val="20"/>
                <w:lang w:val="fr-FR"/>
              </w:rPr>
            </w:pP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</w:trPr>
        <w:tc>
          <w:tcPr>
            <w:tcW w:w="7103" w:type="dxa"/>
            <w:gridSpan w:val="3"/>
          </w:tcPr>
          <w:p>
            <w:pPr>
              <w:jc w:val="both"/>
              <w:rPr>
                <w:b/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     </w:t>
            </w:r>
            <w:r>
              <w:rPr>
                <w:b/>
                <w:bCs/>
                <w:sz w:val="20"/>
                <w:szCs w:val="20"/>
                <w:lang w:val="ru-RU"/>
              </w:rPr>
              <w:t>СРО</w:t>
            </w:r>
            <w:r>
              <w:rPr>
                <w:rFonts w:hint="default"/>
                <w:b/>
                <w:bCs/>
                <w:sz w:val="20"/>
                <w:szCs w:val="20"/>
                <w:lang w:val="ru-RU"/>
              </w:rPr>
              <w:t>2</w:t>
            </w:r>
            <w:r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ru-RU"/>
              </w:rPr>
              <w:t>РК</w:t>
            </w:r>
            <w:r>
              <w:rPr>
                <w:rFonts w:hint="default"/>
                <w:b/>
                <w:bCs/>
                <w:sz w:val="20"/>
                <w:szCs w:val="20"/>
                <w:lang w:val="ru-RU"/>
              </w:rPr>
              <w:t>1</w:t>
            </w:r>
            <w:r>
              <w:rPr>
                <w:sz w:val="20"/>
                <w:szCs w:val="20"/>
                <w:lang w:val="fr-FR"/>
              </w:rPr>
              <w:t xml:space="preserve"> Travail de controle ( lexico-grammatical)</w:t>
            </w:r>
          </w:p>
        </w:tc>
        <w:tc>
          <w:tcPr>
            <w:tcW w:w="2001" w:type="dxa"/>
            <w:gridSpan w:val="3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05" w:type="dxa"/>
          </w:tcPr>
          <w:p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</w:tbl>
    <w:p>
      <w:pPr>
        <w:pStyle w:val="20"/>
        <w:spacing w:before="0" w:beforeAutospacing="0" w:after="0" w:afterAutospacing="0"/>
        <w:jc w:val="center"/>
        <w:textAlignment w:val="baseline"/>
        <w:rPr>
          <w:rStyle w:val="44"/>
          <w:b/>
          <w:bCs/>
          <w:sz w:val="20"/>
          <w:szCs w:val="20"/>
        </w:rPr>
      </w:pPr>
    </w:p>
    <w:p>
      <w:pPr>
        <w:rPr>
          <w:sz w:val="20"/>
          <w:szCs w:val="20"/>
          <w:lang w:val="kk-KZ"/>
        </w:rPr>
      </w:pPr>
    </w:p>
    <w:p>
      <w:pPr>
        <w:rPr>
          <w:sz w:val="20"/>
          <w:szCs w:val="20"/>
          <w:lang w:val="kk-KZ"/>
        </w:rPr>
      </w:pPr>
    </w:p>
    <w:p>
      <w:pPr>
        <w:rPr>
          <w:sz w:val="20"/>
          <w:szCs w:val="20"/>
          <w:lang w:val="kk-KZ"/>
        </w:rPr>
      </w:pPr>
    </w:p>
    <w:p>
      <w:pPr>
        <w:rPr>
          <w:sz w:val="20"/>
          <w:szCs w:val="20"/>
          <w:lang w:val="kk-KZ"/>
        </w:rPr>
      </w:pPr>
    </w:p>
    <w:p>
      <w:pPr>
        <w:rPr>
          <w:sz w:val="20"/>
          <w:szCs w:val="20"/>
          <w:lang w:val="kk-KZ"/>
        </w:rPr>
      </w:pPr>
    </w:p>
    <w:p>
      <w:pPr>
        <w:rPr>
          <w:sz w:val="20"/>
          <w:szCs w:val="20"/>
          <w:lang w:val="kk-KZ"/>
        </w:rPr>
      </w:pPr>
    </w:p>
    <w:p>
      <w:pPr>
        <w:rPr>
          <w:sz w:val="20"/>
          <w:szCs w:val="20"/>
          <w:lang w:val="kk-KZ"/>
        </w:rPr>
      </w:pPr>
    </w:p>
    <w:p>
      <w:pPr>
        <w:rPr>
          <w:sz w:val="20"/>
          <w:szCs w:val="20"/>
          <w:lang w:val="kk-KZ"/>
        </w:rPr>
      </w:pPr>
    </w:p>
    <w:p>
      <w:pPr>
        <w:rPr>
          <w:sz w:val="20"/>
          <w:szCs w:val="20"/>
          <w:lang w:val="kk-KZ"/>
        </w:rPr>
      </w:pPr>
    </w:p>
    <w:p>
      <w:pPr>
        <w:rPr>
          <w:sz w:val="20"/>
          <w:szCs w:val="20"/>
          <w:lang w:val="kk-KZ"/>
        </w:rPr>
      </w:pPr>
    </w:p>
    <w:p>
      <w:pPr>
        <w:rPr>
          <w:sz w:val="20"/>
          <w:szCs w:val="20"/>
          <w:lang w:val="kk-KZ"/>
        </w:rPr>
      </w:pPr>
    </w:p>
    <w:tbl>
      <w:tblPr>
        <w:tblStyle w:val="9"/>
        <w:tblpPr w:leftFromText="180" w:rightFromText="180" w:vertAnchor="text" w:tblpY="1"/>
        <w:tblOverlap w:val="never"/>
        <w:tblW w:w="1300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3"/>
        <w:gridCol w:w="6000"/>
        <w:gridCol w:w="1981"/>
        <w:gridCol w:w="39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123" w:type="dxa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000" w:type="dxa"/>
          </w:tcPr>
          <w:p>
            <w:pPr>
              <w:pStyle w:val="14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L`heure c`est l`heure. P.34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 passé composé</w:t>
            </w:r>
          </w:p>
          <w:p>
            <w:pPr>
              <w:jc w:val="both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fr-FR"/>
              </w:rPr>
              <w:t>Situation daus le temps Heur</w:t>
            </w:r>
            <w:r>
              <w:rPr>
                <w:rFonts w:hint="default"/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  <w:lang w:val="fr-FR"/>
              </w:rPr>
              <w:t>?</w:t>
            </w:r>
            <w:r>
              <w:rPr>
                <w:rFonts w:hint="default"/>
                <w:b w:val="0"/>
                <w:bCs w:val="0"/>
                <w:sz w:val="20"/>
                <w:szCs w:val="20"/>
                <w:lang w:val="ru-RU"/>
              </w:rPr>
              <w:t xml:space="preserve"> </w:t>
            </w:r>
            <w:r>
              <w:rPr>
                <w:rFonts w:hint="default"/>
                <w:b/>
                <w:bCs/>
                <w:sz w:val="20"/>
                <w:szCs w:val="20"/>
                <w:lang w:val="ru-RU"/>
              </w:rPr>
              <w:t>СРОП3.Консультация по СРО2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</w:p>
          <w:p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1981" w:type="dxa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3905" w:type="dxa"/>
          </w:tcPr>
          <w:p>
            <w:pPr>
              <w:rPr>
                <w:sz w:val="20"/>
                <w:szCs w:val="20"/>
                <w:lang w:val="en-US"/>
              </w:rPr>
            </w:pPr>
          </w:p>
          <w:p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1123" w:type="dxa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6000" w:type="dxa"/>
          </w:tcPr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Participe passé</w:t>
            </w:r>
          </w:p>
          <w:p>
            <w:pPr>
              <w:jc w:val="both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fr-FR"/>
              </w:rPr>
              <w:t>Le moment de la journée?</w:t>
            </w:r>
            <w:r>
              <w:rPr>
                <w:rFonts w:hint="default"/>
                <w:b w:val="0"/>
                <w:bCs w:val="0"/>
                <w:sz w:val="20"/>
                <w:szCs w:val="20"/>
                <w:lang w:val="ru-RU"/>
              </w:rPr>
              <w:t xml:space="preserve"> </w:t>
            </w:r>
            <w:r>
              <w:rPr>
                <w:rFonts w:hint="default"/>
                <w:b/>
                <w:bCs/>
                <w:sz w:val="20"/>
                <w:szCs w:val="20"/>
                <w:lang w:val="ru-RU"/>
              </w:rPr>
              <w:t xml:space="preserve"> СРО2</w:t>
            </w:r>
          </w:p>
        </w:tc>
        <w:tc>
          <w:tcPr>
            <w:tcW w:w="1981" w:type="dxa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05" w:type="dxa"/>
          </w:tcPr>
          <w:p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  <w:p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0" w:hRule="atLeast"/>
        </w:trPr>
        <w:tc>
          <w:tcPr>
            <w:tcW w:w="7123" w:type="dxa"/>
            <w:gridSpan w:val="2"/>
            <w:tcBorders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10</w:t>
            </w:r>
          </w:p>
          <w:p>
            <w:pPr>
              <w:pStyle w:val="14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                  Elle va revoir sa Normandie. Ville. P. 42</w:t>
            </w:r>
          </w:p>
          <w:p>
            <w:pPr>
              <w:jc w:val="both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fr-FR"/>
              </w:rPr>
              <w:t xml:space="preserve">                   Les adjectives possessifs</w:t>
            </w:r>
            <w:r>
              <w:rPr>
                <w:rFonts w:hint="default"/>
                <w:sz w:val="20"/>
                <w:szCs w:val="20"/>
                <w:lang w:val="ru-RU"/>
              </w:rPr>
              <w:t xml:space="preserve"> </w:t>
            </w:r>
            <w:r>
              <w:rPr>
                <w:rFonts w:hint="default"/>
                <w:b/>
                <w:bCs/>
                <w:sz w:val="20"/>
                <w:szCs w:val="20"/>
                <w:lang w:val="ru-RU"/>
              </w:rPr>
              <w:t>СРОП4.Консультация по СРО3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</w:p>
          <w:p>
            <w:pPr>
              <w:jc w:val="both"/>
              <w:rPr>
                <w:rFonts w:hint="default"/>
                <w:sz w:val="20"/>
                <w:szCs w:val="20"/>
                <w:lang w:val="ru-RU"/>
              </w:rPr>
            </w:pPr>
          </w:p>
          <w:p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1981" w:type="dxa"/>
            <w:tcBorders>
              <w:bottom w:val="single" w:color="auto" w:sz="4" w:space="0"/>
              <w:right w:val="single" w:color="auto" w:sz="4" w:space="0"/>
            </w:tcBorders>
          </w:tcPr>
          <w:p>
            <w:pPr>
              <w:spacing w:after="160" w:line="259" w:lineRule="auto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3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3905" w:type="dxa"/>
            <w:tcBorders>
              <w:bottom w:val="single" w:color="auto" w:sz="4" w:space="0"/>
              <w:right w:val="single" w:color="auto" w:sz="4" w:space="0"/>
            </w:tcBorders>
          </w:tcPr>
          <w:p>
            <w:pPr>
              <w:spacing w:after="160" w:line="259" w:lineRule="auto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</w:p>
        </w:tc>
      </w:tr>
    </w:tbl>
    <w:p>
      <w:pPr>
        <w:rPr>
          <w:sz w:val="20"/>
          <w:szCs w:val="20"/>
          <w:lang w:val="kk-KZ"/>
        </w:rPr>
      </w:pPr>
    </w:p>
    <w:p>
      <w:pPr>
        <w:rPr>
          <w:sz w:val="20"/>
          <w:szCs w:val="20"/>
          <w:lang w:val="kk-KZ"/>
        </w:rPr>
      </w:pPr>
    </w:p>
    <w:p>
      <w:pPr>
        <w:rPr>
          <w:sz w:val="20"/>
          <w:szCs w:val="20"/>
          <w:lang w:val="kk-KZ"/>
        </w:rPr>
      </w:pPr>
    </w:p>
    <w:p>
      <w:pPr>
        <w:rPr>
          <w:sz w:val="20"/>
          <w:szCs w:val="20"/>
          <w:lang w:val="kk-KZ"/>
        </w:rPr>
      </w:pPr>
    </w:p>
    <w:p>
      <w:pPr>
        <w:rPr>
          <w:sz w:val="20"/>
          <w:szCs w:val="20"/>
          <w:lang w:val="kk-KZ"/>
        </w:rPr>
      </w:pPr>
    </w:p>
    <w:p>
      <w:pPr>
        <w:rPr>
          <w:sz w:val="20"/>
          <w:szCs w:val="20"/>
          <w:lang w:val="kk-KZ"/>
        </w:rPr>
      </w:pPr>
    </w:p>
    <w:p>
      <w:pPr>
        <w:rPr>
          <w:sz w:val="20"/>
          <w:szCs w:val="20"/>
          <w:lang w:val="kk-KZ"/>
        </w:rPr>
      </w:pPr>
    </w:p>
    <w:tbl>
      <w:tblPr>
        <w:tblStyle w:val="9"/>
        <w:tblpPr w:leftFromText="180" w:rightFromText="180" w:vertAnchor="text" w:tblpX="1" w:tblpY="1"/>
        <w:tblOverlap w:val="never"/>
        <w:tblW w:w="1512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1"/>
        <w:gridCol w:w="5962"/>
        <w:gridCol w:w="1981"/>
        <w:gridCol w:w="60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740" w:hRule="atLeast"/>
        </w:trPr>
        <w:tc>
          <w:tcPr>
            <w:tcW w:w="1161" w:type="dxa"/>
            <w:tcBorders>
              <w:top w:val="single" w:color="auto" w:sz="4" w:space="0"/>
            </w:tcBorders>
          </w:tcPr>
          <w:p>
            <w:pPr>
              <w:jc w:val="both"/>
              <w:rPr>
                <w:rFonts w:hint="default"/>
                <w:sz w:val="20"/>
                <w:szCs w:val="20"/>
                <w:lang w:val="ru-RU"/>
              </w:rPr>
            </w:pPr>
          </w:p>
        </w:tc>
        <w:tc>
          <w:tcPr>
            <w:tcW w:w="5962" w:type="dxa"/>
            <w:tcBorders>
              <w:top w:val="single" w:color="auto" w:sz="4" w:space="0"/>
            </w:tcBorders>
          </w:tcPr>
          <w:p>
            <w:pPr>
              <w:jc w:val="both"/>
              <w:rPr>
                <w:b/>
                <w:bCs/>
                <w:sz w:val="24"/>
                <w:szCs w:val="24"/>
                <w:lang w:val="fr-FR"/>
              </w:rPr>
            </w:pPr>
          </w:p>
          <w:p>
            <w:pPr>
              <w:ind w:firstLine="840" w:firstLineChars="350"/>
              <w:jc w:val="both"/>
              <w:rPr>
                <w:rFonts w:hint="default"/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Модуль</w:t>
            </w:r>
            <w:r>
              <w:rPr>
                <w:rFonts w:hint="default"/>
                <w:b/>
                <w:bCs/>
                <w:sz w:val="24"/>
                <w:szCs w:val="24"/>
                <w:lang w:val="ru-RU"/>
              </w:rPr>
              <w:t xml:space="preserve"> 3 </w:t>
            </w:r>
            <w:r>
              <w:rPr>
                <w:rFonts w:hint="default"/>
                <w:b/>
                <w:bCs/>
                <w:sz w:val="24"/>
                <w:szCs w:val="24"/>
                <w:lang w:val="en-US"/>
              </w:rPr>
              <w:t>Sortir ensemble</w:t>
            </w:r>
          </w:p>
        </w:tc>
        <w:tc>
          <w:tcPr>
            <w:tcW w:w="1981" w:type="dxa"/>
            <w:tcBorders>
              <w:top w:val="single" w:color="auto" w:sz="4" w:space="0"/>
            </w:tcBorders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023" w:type="dxa"/>
            <w:tcBorders>
              <w:top w:val="single" w:color="auto" w:sz="4" w:space="0"/>
            </w:tcBorders>
          </w:tcPr>
          <w:p>
            <w:pPr>
              <w:rPr>
                <w:sz w:val="20"/>
                <w:szCs w:val="20"/>
                <w:lang w:val="en-US"/>
              </w:rPr>
            </w:pPr>
          </w:p>
          <w:p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280" w:hRule="atLeast"/>
        </w:trPr>
        <w:tc>
          <w:tcPr>
            <w:tcW w:w="1161" w:type="dxa"/>
          </w:tcPr>
          <w:p>
            <w:pPr>
              <w:jc w:val="both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1</w:t>
            </w:r>
            <w:r>
              <w:rPr>
                <w:rFonts w:hint="default"/>
                <w:sz w:val="20"/>
                <w:szCs w:val="20"/>
                <w:lang w:val="en-US"/>
              </w:rPr>
              <w:t>1</w:t>
            </w:r>
            <w:bookmarkStart w:id="0" w:name="_GoBack"/>
            <w:bookmarkEnd w:id="0"/>
          </w:p>
        </w:tc>
        <w:tc>
          <w:tcPr>
            <w:tcW w:w="5962" w:type="dxa"/>
          </w:tcPr>
          <w:p>
            <w:pPr>
              <w:pStyle w:val="14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Mettez – vous d`accord!</w:t>
            </w:r>
          </w:p>
          <w:p>
            <w:pPr>
              <w:pStyle w:val="14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P. 50. Almaty, Paris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La conjugaison pronominale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La vie quotidienne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Donner son opinion</w:t>
            </w:r>
            <w:r>
              <w:rPr>
                <w:rFonts w:hint="default"/>
                <w:sz w:val="20"/>
                <w:szCs w:val="20"/>
                <w:lang w:val="ru-RU"/>
              </w:rPr>
              <w:t xml:space="preserve"> </w:t>
            </w:r>
            <w:r>
              <w:rPr>
                <w:rFonts w:hint="default"/>
                <w:b/>
                <w:bCs/>
                <w:sz w:val="20"/>
                <w:szCs w:val="20"/>
                <w:lang w:val="ru-RU"/>
              </w:rPr>
              <w:t>СРО3</w:t>
            </w:r>
          </w:p>
        </w:tc>
        <w:tc>
          <w:tcPr>
            <w:tcW w:w="1981" w:type="dxa"/>
          </w:tcPr>
          <w:p>
            <w:pPr>
              <w:jc w:val="both"/>
              <w:rPr>
                <w:sz w:val="20"/>
                <w:szCs w:val="20"/>
                <w:lang w:val="en-US"/>
              </w:rPr>
            </w:pPr>
          </w:p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023" w:type="dxa"/>
          </w:tcPr>
          <w:p>
            <w:pPr>
              <w:rPr>
                <w:sz w:val="20"/>
                <w:szCs w:val="20"/>
                <w:lang w:val="en-US"/>
              </w:rPr>
            </w:pPr>
          </w:p>
          <w:p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7" w:hRule="atLeast"/>
        </w:trPr>
        <w:tc>
          <w:tcPr>
            <w:tcW w:w="1161" w:type="dxa"/>
          </w:tcPr>
          <w:p>
            <w:pPr>
              <w:jc w:val="both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rFonts w:hint="default"/>
                <w:sz w:val="20"/>
                <w:szCs w:val="20"/>
                <w:lang w:val="en-US"/>
              </w:rPr>
              <w:t>2</w:t>
            </w:r>
          </w:p>
        </w:tc>
        <w:tc>
          <w:tcPr>
            <w:tcW w:w="5962" w:type="dxa"/>
          </w:tcPr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L`impératif des verbes pronominaux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Le mouvement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l`enchainement des idées</w:t>
            </w:r>
            <w:r>
              <w:rPr>
                <w:rFonts w:hint="default"/>
                <w:sz w:val="20"/>
                <w:szCs w:val="20"/>
                <w:lang w:val="ru-RU"/>
              </w:rPr>
              <w:t xml:space="preserve"> </w:t>
            </w:r>
            <w:r>
              <w:rPr>
                <w:rFonts w:hint="default"/>
                <w:b/>
                <w:bCs/>
                <w:sz w:val="20"/>
                <w:szCs w:val="20"/>
                <w:lang w:val="ru-RU"/>
              </w:rPr>
              <w:t>СРО3</w:t>
            </w:r>
          </w:p>
        </w:tc>
        <w:tc>
          <w:tcPr>
            <w:tcW w:w="1981" w:type="dxa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023" w:type="dxa"/>
          </w:tcPr>
          <w:p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5" w:hRule="atLeast"/>
        </w:trPr>
        <w:tc>
          <w:tcPr>
            <w:tcW w:w="1161" w:type="dxa"/>
          </w:tcPr>
          <w:p>
            <w:pPr>
              <w:ind w:left="900" w:hanging="900" w:hangingChars="450"/>
              <w:jc w:val="both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>
              <w:rPr>
                <w:rFonts w:hint="default"/>
                <w:sz w:val="20"/>
                <w:szCs w:val="20"/>
                <w:lang w:val="en-US"/>
              </w:rPr>
              <w:t xml:space="preserve">3                   </w:t>
            </w:r>
          </w:p>
        </w:tc>
        <w:tc>
          <w:tcPr>
            <w:tcW w:w="5962" w:type="dxa"/>
          </w:tcPr>
          <w:p>
            <w:pPr>
              <w:pStyle w:val="14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Trois visages de l`aventure. P.62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Le passé composé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L`imparfait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Décrire les personnes.</w:t>
            </w:r>
          </w:p>
          <w:p>
            <w:pPr>
              <w:jc w:val="both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fr-FR"/>
              </w:rPr>
              <w:t>Le corps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</w:p>
          <w:p>
            <w:pPr>
              <w:ind w:left="1800" w:hanging="1800" w:hangingChars="900"/>
              <w:jc w:val="both"/>
              <w:rPr>
                <w:sz w:val="20"/>
                <w:szCs w:val="20"/>
                <w:lang w:val="fr-FR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 xml:space="preserve">                                                                             </w:t>
            </w:r>
            <w:r>
              <w:rPr>
                <w:rFonts w:hint="default"/>
                <w:b/>
                <w:bCs/>
                <w:sz w:val="20"/>
                <w:szCs w:val="20"/>
                <w:lang w:val="ru-RU"/>
              </w:rPr>
              <w:t>СРОП.Консультация по СРО4</w:t>
            </w:r>
          </w:p>
        </w:tc>
        <w:tc>
          <w:tcPr>
            <w:tcW w:w="1981" w:type="dxa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>
            <w:pPr>
              <w:jc w:val="both"/>
              <w:rPr>
                <w:sz w:val="20"/>
                <w:szCs w:val="20"/>
                <w:lang w:val="de-DE"/>
              </w:rPr>
            </w:pPr>
          </w:p>
        </w:tc>
        <w:tc>
          <w:tcPr>
            <w:tcW w:w="6023" w:type="dxa"/>
          </w:tcPr>
          <w:p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3</w:t>
            </w:r>
          </w:p>
          <w:p>
            <w:pPr>
              <w:rPr>
                <w:sz w:val="20"/>
                <w:szCs w:val="20"/>
                <w:lang w:val="de-DE"/>
              </w:rPr>
            </w:pPr>
          </w:p>
          <w:p>
            <w:pPr>
              <w:jc w:val="both"/>
              <w:rPr>
                <w:sz w:val="20"/>
                <w:szCs w:val="20"/>
                <w:lang w:val="de-D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</w:trPr>
        <w:tc>
          <w:tcPr>
            <w:tcW w:w="1161" w:type="dxa"/>
          </w:tcPr>
          <w:p>
            <w:pPr>
              <w:ind w:left="900" w:hanging="900" w:hangingChars="450"/>
              <w:jc w:val="both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14</w:t>
            </w:r>
          </w:p>
        </w:tc>
        <w:tc>
          <w:tcPr>
            <w:tcW w:w="5962" w:type="dxa"/>
          </w:tcPr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Le passé composé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L`imparfait</w:t>
            </w:r>
          </w:p>
          <w:p>
            <w:pPr>
              <w:ind w:left="1800" w:hanging="1800" w:hangingChars="900"/>
              <w:jc w:val="both"/>
              <w:rPr>
                <w:rFonts w:hint="default"/>
                <w:sz w:val="20"/>
                <w:szCs w:val="20"/>
                <w:lang w:val="ru-RU"/>
              </w:rPr>
            </w:pPr>
          </w:p>
        </w:tc>
        <w:tc>
          <w:tcPr>
            <w:tcW w:w="1981" w:type="dxa"/>
          </w:tcPr>
          <w:p>
            <w:pPr>
              <w:jc w:val="both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3</w:t>
            </w:r>
          </w:p>
        </w:tc>
        <w:tc>
          <w:tcPr>
            <w:tcW w:w="6023" w:type="dxa"/>
          </w:tcPr>
          <w:p>
            <w:pPr>
              <w:jc w:val="both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1161" w:type="dxa"/>
          </w:tcPr>
          <w:p>
            <w:pPr>
              <w:ind w:left="900" w:hanging="900" w:hangingChars="450"/>
              <w:jc w:val="both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15</w:t>
            </w:r>
          </w:p>
        </w:tc>
        <w:tc>
          <w:tcPr>
            <w:tcW w:w="5962" w:type="dxa"/>
          </w:tcPr>
          <w:p>
            <w:pPr>
              <w:ind w:left="1800" w:hanging="1800" w:hangingChars="900"/>
              <w:jc w:val="both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 xml:space="preserve">Работа по </w:t>
            </w:r>
            <w:r>
              <w:rPr>
                <w:rFonts w:hint="default"/>
                <w:b/>
                <w:bCs/>
                <w:sz w:val="20"/>
                <w:szCs w:val="20"/>
                <w:lang w:val="ru-RU"/>
              </w:rPr>
              <w:t>СРО4</w:t>
            </w:r>
          </w:p>
        </w:tc>
        <w:tc>
          <w:tcPr>
            <w:tcW w:w="1981" w:type="dxa"/>
          </w:tcPr>
          <w:p>
            <w:pPr>
              <w:jc w:val="both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26</w:t>
            </w:r>
          </w:p>
        </w:tc>
        <w:tc>
          <w:tcPr>
            <w:tcW w:w="6023" w:type="dxa"/>
          </w:tcPr>
          <w:p>
            <w:pPr>
              <w:jc w:val="both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100</w:t>
            </w:r>
          </w:p>
        </w:tc>
      </w:tr>
    </w:tbl>
    <w:p>
      <w:pPr>
        <w:rPr>
          <w:sz w:val="20"/>
          <w:szCs w:val="20"/>
          <w:lang w:val="kk-KZ"/>
        </w:rPr>
      </w:pPr>
    </w:p>
    <w:p>
      <w:pPr>
        <w:rPr>
          <w:sz w:val="20"/>
          <w:szCs w:val="20"/>
          <w:lang w:val="kk-KZ"/>
        </w:rPr>
      </w:pPr>
    </w:p>
    <w:p>
      <w:pPr>
        <w:rPr>
          <w:sz w:val="20"/>
          <w:szCs w:val="20"/>
          <w:lang w:val="kk-KZ"/>
        </w:rPr>
      </w:pPr>
    </w:p>
    <w:p>
      <w:pPr>
        <w:rPr>
          <w:sz w:val="20"/>
          <w:szCs w:val="20"/>
          <w:lang w:val="kk-KZ"/>
        </w:rPr>
      </w:pPr>
    </w:p>
    <w:p>
      <w:pPr>
        <w:rPr>
          <w:sz w:val="20"/>
          <w:szCs w:val="20"/>
          <w:lang w:val="kk-KZ"/>
        </w:rPr>
      </w:pPr>
    </w:p>
    <w:tbl>
      <w:tblPr>
        <w:tblStyle w:val="9"/>
        <w:tblpPr w:leftFromText="180" w:rightFromText="180" w:vertAnchor="text" w:horzAnchor="page" w:tblpX="591" w:tblpY="2963"/>
        <w:tblOverlap w:val="never"/>
        <w:tblW w:w="15969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17"/>
        <w:gridCol w:w="3066"/>
        <w:gridCol w:w="2935"/>
        <w:gridCol w:w="3240"/>
        <w:gridCol w:w="4211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5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 w:themeFill="accent1" w:themeFillTint="33"/>
          </w:tcPr>
          <w:p>
            <w:pPr>
              <w:pStyle w:val="20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44"/>
                <w:b/>
                <w:bCs/>
                <w:color w:val="000000"/>
                <w:sz w:val="20"/>
                <w:szCs w:val="20"/>
              </w:rPr>
              <w:t>Критерий </w:t>
            </w:r>
            <w:r>
              <w:rPr>
                <w:rStyle w:val="44"/>
                <w:color w:val="000000"/>
                <w:sz w:val="20"/>
                <w:szCs w:val="20"/>
              </w:rPr>
              <w:t> </w:t>
            </w:r>
            <w:r>
              <w:rPr>
                <w:rStyle w:val="45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 w:themeFill="accent1" w:themeFillTint="33"/>
          </w:tcPr>
          <w:p>
            <w:pPr>
              <w:pStyle w:val="20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44"/>
                <w:b/>
                <w:bCs/>
                <w:color w:val="000000"/>
                <w:sz w:val="20"/>
                <w:szCs w:val="20"/>
              </w:rPr>
              <w:t>«Отлично» </w:t>
            </w:r>
            <w:r>
              <w:rPr>
                <w:rStyle w:val="44"/>
                <w:color w:val="000000"/>
                <w:sz w:val="20"/>
                <w:szCs w:val="20"/>
              </w:rPr>
              <w:t> </w:t>
            </w:r>
            <w:r>
              <w:rPr>
                <w:rStyle w:val="45"/>
                <w:color w:val="000000"/>
                <w:sz w:val="20"/>
                <w:szCs w:val="20"/>
              </w:rPr>
              <w:t> </w:t>
            </w:r>
          </w:p>
          <w:p>
            <w:pPr>
              <w:pStyle w:val="20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44"/>
                <w:sz w:val="20"/>
                <w:szCs w:val="20"/>
              </w:rPr>
              <w:t>25-30%</w:t>
            </w:r>
            <w:r>
              <w:rPr>
                <w:rStyle w:val="45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 w:themeFill="accent1" w:themeFillTint="33"/>
          </w:tcPr>
          <w:p>
            <w:pPr>
              <w:pStyle w:val="20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44"/>
                <w:b/>
                <w:bCs/>
                <w:color w:val="000000"/>
                <w:sz w:val="20"/>
                <w:szCs w:val="20"/>
              </w:rPr>
              <w:t>«Хорошо» </w:t>
            </w:r>
            <w:r>
              <w:rPr>
                <w:rStyle w:val="44"/>
                <w:color w:val="000000"/>
                <w:sz w:val="20"/>
                <w:szCs w:val="20"/>
              </w:rPr>
              <w:t> </w:t>
            </w:r>
            <w:r>
              <w:rPr>
                <w:rStyle w:val="45"/>
                <w:color w:val="000000"/>
                <w:sz w:val="20"/>
                <w:szCs w:val="20"/>
              </w:rPr>
              <w:t> </w:t>
            </w:r>
          </w:p>
          <w:p>
            <w:pPr>
              <w:pStyle w:val="20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44"/>
                <w:sz w:val="20"/>
                <w:szCs w:val="20"/>
              </w:rPr>
              <w:t>20-20%</w:t>
            </w:r>
            <w:r>
              <w:rPr>
                <w:rStyle w:val="45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 w:themeFill="accent1" w:themeFillTint="33"/>
          </w:tcPr>
          <w:p>
            <w:pPr>
              <w:pStyle w:val="20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44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>
              <w:rPr>
                <w:rStyle w:val="44"/>
                <w:color w:val="000000"/>
                <w:sz w:val="20"/>
                <w:szCs w:val="20"/>
              </w:rPr>
              <w:t> </w:t>
            </w:r>
            <w:r>
              <w:rPr>
                <w:rStyle w:val="45"/>
                <w:color w:val="000000"/>
                <w:sz w:val="20"/>
                <w:szCs w:val="20"/>
              </w:rPr>
              <w:t> </w:t>
            </w:r>
          </w:p>
          <w:p>
            <w:pPr>
              <w:pStyle w:val="20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44"/>
                <w:color w:val="000000"/>
                <w:sz w:val="20"/>
                <w:szCs w:val="20"/>
              </w:rPr>
              <w:t>15-20%</w:t>
            </w:r>
            <w:r>
              <w:rPr>
                <w:rStyle w:val="45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 w:themeFill="accent1" w:themeFillTint="33"/>
          </w:tcPr>
          <w:p>
            <w:pPr>
              <w:pStyle w:val="20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44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>
              <w:rPr>
                <w:rStyle w:val="44"/>
                <w:color w:val="000000"/>
                <w:sz w:val="20"/>
                <w:szCs w:val="20"/>
              </w:rPr>
              <w:t> </w:t>
            </w:r>
            <w:r>
              <w:rPr>
                <w:rStyle w:val="45"/>
                <w:color w:val="000000"/>
                <w:sz w:val="20"/>
                <w:szCs w:val="20"/>
              </w:rPr>
              <w:t> </w:t>
            </w:r>
          </w:p>
          <w:p>
            <w:pPr>
              <w:pStyle w:val="20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44"/>
                <w:color w:val="000000"/>
                <w:sz w:val="20"/>
                <w:szCs w:val="20"/>
              </w:rPr>
              <w:t>0 – 15%</w:t>
            </w:r>
            <w:r>
              <w:rPr>
                <w:rStyle w:val="45"/>
                <w:color w:val="000000"/>
                <w:sz w:val="20"/>
                <w:szCs w:val="20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5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>
            <w:pPr>
              <w:pStyle w:val="20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44"/>
                <w:b/>
                <w:bCs/>
                <w:sz w:val="20"/>
                <w:szCs w:val="20"/>
              </w:rPr>
              <w:t>Понимание теорий и концепций профессиональной идентичности учителя и профессии учителя</w:t>
            </w:r>
            <w:r>
              <w:rPr>
                <w:rStyle w:val="44"/>
                <w:sz w:val="20"/>
                <w:szCs w:val="20"/>
              </w:rPr>
              <w:t> </w:t>
            </w:r>
            <w:r>
              <w:rPr>
                <w:rStyle w:val="45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>
            <w:pPr>
              <w:pStyle w:val="20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44"/>
                <w:sz w:val="20"/>
                <w:szCs w:val="20"/>
              </w:rPr>
              <w:t>Глубокое понимание теорий, концепций профессиональной идентичности учителя и профессии учителя. </w:t>
            </w:r>
            <w:r>
              <w:rPr>
                <w:rStyle w:val="45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>
            <w:pPr>
              <w:pStyle w:val="20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44"/>
                <w:sz w:val="20"/>
                <w:szCs w:val="20"/>
              </w:rPr>
              <w:t>Понимание теорий, концепций профессиональной идентичности учителя и профессии учителя. </w:t>
            </w:r>
            <w:r>
              <w:rPr>
                <w:rStyle w:val="45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>
            <w:pPr>
              <w:pStyle w:val="20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44"/>
                <w:sz w:val="20"/>
                <w:szCs w:val="20"/>
              </w:rPr>
              <w:t>Ограниченное понимание теорий, концепций профессиональной идентичности учителя и профессии учителя. </w:t>
            </w:r>
            <w:r>
              <w:rPr>
                <w:rStyle w:val="45"/>
                <w:sz w:val="20"/>
                <w:szCs w:val="20"/>
              </w:rPr>
              <w:t> </w:t>
            </w:r>
          </w:p>
        </w:tc>
        <w:tc>
          <w:tcPr>
            <w:tcW w:w="42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>
            <w:pPr>
              <w:pStyle w:val="20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44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учителя и профессии учителя. </w:t>
            </w:r>
            <w:r>
              <w:rPr>
                <w:rStyle w:val="45"/>
                <w:sz w:val="20"/>
                <w:szCs w:val="20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5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>
            <w:pPr>
              <w:pStyle w:val="20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44"/>
                <w:b/>
                <w:bCs/>
                <w:sz w:val="20"/>
                <w:szCs w:val="20"/>
              </w:rPr>
              <w:t>Осведомленность о ключевых вопросах профессиональной идентичности учителя и профессии учителя в Казахстане</w:t>
            </w:r>
            <w:r>
              <w:rPr>
                <w:rStyle w:val="44"/>
                <w:sz w:val="20"/>
                <w:szCs w:val="20"/>
              </w:rPr>
              <w:t> </w:t>
            </w:r>
            <w:r>
              <w:rPr>
                <w:rStyle w:val="45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>
            <w:pPr>
              <w:pStyle w:val="20"/>
              <w:spacing w:before="0" w:beforeAutospacing="0" w:after="0" w:afterAutospacing="0"/>
              <w:textAlignment w:val="baseline"/>
              <w:rPr>
                <w:rStyle w:val="45"/>
                <w:sz w:val="20"/>
                <w:szCs w:val="20"/>
              </w:rPr>
            </w:pPr>
            <w:r>
              <w:rPr>
                <w:rStyle w:val="44"/>
                <w:sz w:val="20"/>
                <w:szCs w:val="20"/>
              </w:rPr>
              <w:t>Грамотное соотношение ключевых понятий профессиональной идентичности учителя и профессии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  <w:r>
              <w:rPr>
                <w:rStyle w:val="45"/>
                <w:sz w:val="20"/>
                <w:szCs w:val="20"/>
              </w:rPr>
              <w:t> </w:t>
            </w:r>
          </w:p>
          <w:p>
            <w:pPr>
              <w:pStyle w:val="20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>
            <w:pPr>
              <w:pStyle w:val="20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44"/>
                <w:sz w:val="20"/>
                <w:szCs w:val="20"/>
              </w:rPr>
              <w:t>Присутствует связь концепций профессиональной идентичности учителя и профессии учителя с контекстом Казахстана. Аргументы подкреплены доказательствами эмпирического исследования. </w:t>
            </w:r>
            <w:r>
              <w:rPr>
                <w:rStyle w:val="45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>
            <w:pPr>
              <w:pStyle w:val="20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44"/>
                <w:sz w:val="20"/>
                <w:szCs w:val="20"/>
              </w:rPr>
              <w:t>Ограниченное соотношение профессиональной идентичности учителя и концепций профессии учителя с контекстом Казахстана. Ограниченное использование доказательств эмпирического исследования </w:t>
            </w:r>
            <w:r>
              <w:rPr>
                <w:rStyle w:val="45"/>
                <w:sz w:val="20"/>
                <w:szCs w:val="20"/>
              </w:rPr>
              <w:t> </w:t>
            </w:r>
          </w:p>
        </w:tc>
        <w:tc>
          <w:tcPr>
            <w:tcW w:w="42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>
            <w:pPr>
              <w:pStyle w:val="20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44"/>
                <w:sz w:val="20"/>
                <w:szCs w:val="20"/>
              </w:rPr>
              <w:t>Незначительная связь/ отсутствие связи концепций профессиональной идентичности учителя с контекстом Казахстана. Мало или вообще не используются эмпирические исследования. </w:t>
            </w:r>
            <w:r>
              <w:rPr>
                <w:rStyle w:val="45"/>
                <w:sz w:val="20"/>
                <w:szCs w:val="20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5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>
            <w:pPr>
              <w:pStyle w:val="20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44"/>
                <w:b/>
                <w:bCs/>
                <w:sz w:val="20"/>
                <w:szCs w:val="20"/>
              </w:rPr>
              <w:t>Пилотное исследование</w:t>
            </w:r>
            <w:r>
              <w:rPr>
                <w:rStyle w:val="44"/>
                <w:sz w:val="20"/>
                <w:szCs w:val="20"/>
              </w:rPr>
              <w:t> </w:t>
            </w:r>
            <w:r>
              <w:rPr>
                <w:rStyle w:val="45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>
            <w:pPr>
              <w:pStyle w:val="20"/>
              <w:spacing w:before="0" w:beforeAutospacing="0" w:after="0" w:afterAutospacing="0"/>
              <w:textAlignment w:val="baseline"/>
              <w:rPr>
                <w:rStyle w:val="45"/>
                <w:sz w:val="20"/>
                <w:szCs w:val="20"/>
              </w:rPr>
            </w:pPr>
            <w:r>
              <w:rPr>
                <w:rStyle w:val="44"/>
                <w:sz w:val="20"/>
                <w:szCs w:val="20"/>
              </w:rPr>
              <w:t>Отличное использование результатов пилотных исследований (интервью или опрос) в презентации </w:t>
            </w:r>
            <w:r>
              <w:rPr>
                <w:rStyle w:val="45"/>
                <w:sz w:val="20"/>
                <w:szCs w:val="20"/>
              </w:rPr>
              <w:t> </w:t>
            </w:r>
          </w:p>
          <w:p>
            <w:pPr>
              <w:pStyle w:val="20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>
            <w:pPr>
              <w:pStyle w:val="20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44"/>
                <w:sz w:val="20"/>
                <w:szCs w:val="20"/>
              </w:rPr>
              <w:t>Хорошее использование результатов пилотных исследований (интервью или опроса) в презентации. </w:t>
            </w:r>
            <w:r>
              <w:rPr>
                <w:rStyle w:val="45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>
            <w:pPr>
              <w:pStyle w:val="20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44"/>
                <w:sz w:val="20"/>
                <w:szCs w:val="20"/>
              </w:rPr>
              <w:t>Удовлетворительное использование результатов пилотных исследований (интервью или опрос) в презентации. </w:t>
            </w:r>
            <w:r>
              <w:rPr>
                <w:rStyle w:val="45"/>
                <w:sz w:val="20"/>
                <w:szCs w:val="20"/>
              </w:rPr>
              <w:t> </w:t>
            </w:r>
          </w:p>
        </w:tc>
        <w:tc>
          <w:tcPr>
            <w:tcW w:w="42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>
            <w:pPr>
              <w:pStyle w:val="20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44"/>
                <w:sz w:val="20"/>
                <w:szCs w:val="20"/>
              </w:rPr>
              <w:t>Плохое использование результатов пилотных исследований (интервью или опросов) в презентации. </w:t>
            </w:r>
            <w:r>
              <w:rPr>
                <w:rStyle w:val="45"/>
                <w:sz w:val="20"/>
                <w:szCs w:val="20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5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>
            <w:pPr>
              <w:pStyle w:val="20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44"/>
                <w:b/>
                <w:bCs/>
                <w:sz w:val="20"/>
                <w:szCs w:val="20"/>
              </w:rPr>
              <w:t>Предложение политики или практических рекомендаций / предложений</w:t>
            </w:r>
            <w:r>
              <w:rPr>
                <w:rStyle w:val="44"/>
                <w:sz w:val="20"/>
                <w:szCs w:val="20"/>
              </w:rPr>
              <w:t> </w:t>
            </w:r>
            <w:r>
              <w:rPr>
                <w:rStyle w:val="45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>
            <w:pPr>
              <w:pStyle w:val="20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44"/>
                <w:sz w:val="20"/>
                <w:szCs w:val="20"/>
              </w:rPr>
              <w:t>Предлагает очень хорошую политику и / или практические рекомендации или предложения по улучшению профессиональной идентичности и профессии учителя в Казахстане. </w:t>
            </w:r>
            <w:r>
              <w:rPr>
                <w:rStyle w:val="45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>
            <w:pPr>
              <w:pStyle w:val="20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44"/>
                <w:sz w:val="20"/>
                <w:szCs w:val="20"/>
              </w:rPr>
              <w:t>Предлагает некоторые политические и/или практические рекомендации или предложения по улучшению профессиональной идентичности и профессии учителя в Казахстане. </w:t>
            </w:r>
            <w:r>
              <w:rPr>
                <w:rStyle w:val="45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>
            <w:pPr>
              <w:pStyle w:val="20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44"/>
                <w:sz w:val="20"/>
                <w:szCs w:val="20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>
              <w:rPr>
                <w:rStyle w:val="45"/>
                <w:sz w:val="20"/>
                <w:szCs w:val="20"/>
              </w:rPr>
              <w:t> </w:t>
            </w:r>
          </w:p>
        </w:tc>
        <w:tc>
          <w:tcPr>
            <w:tcW w:w="42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>
            <w:pPr>
              <w:pStyle w:val="20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44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>
              <w:rPr>
                <w:rStyle w:val="45"/>
                <w:sz w:val="20"/>
                <w:szCs w:val="20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5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>
            <w:pPr>
              <w:pStyle w:val="20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44"/>
                <w:b/>
                <w:bCs/>
                <w:sz w:val="20"/>
                <w:szCs w:val="20"/>
              </w:rPr>
              <w:t>Презентация, </w:t>
            </w:r>
            <w:r>
              <w:rPr>
                <w:rStyle w:val="45"/>
                <w:sz w:val="20"/>
                <w:szCs w:val="20"/>
              </w:rPr>
              <w:t> </w:t>
            </w:r>
          </w:p>
          <w:p>
            <w:pPr>
              <w:pStyle w:val="20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44"/>
                <w:b/>
                <w:bCs/>
                <w:sz w:val="20"/>
                <w:szCs w:val="20"/>
              </w:rPr>
              <w:t>командная работа</w:t>
            </w:r>
            <w:r>
              <w:rPr>
                <w:rStyle w:val="44"/>
                <w:sz w:val="20"/>
                <w:szCs w:val="20"/>
              </w:rPr>
              <w:t> </w:t>
            </w:r>
            <w:r>
              <w:rPr>
                <w:rStyle w:val="45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>
            <w:pPr>
              <w:pStyle w:val="20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44"/>
                <w:sz w:val="20"/>
                <w:szCs w:val="20"/>
              </w:rPr>
              <w:t>Отличная, привлекательная презентация, отличное качество визуальных эффектов, слайдов, материалов, отличная командная работа. </w:t>
            </w:r>
            <w:r>
              <w:rPr>
                <w:rStyle w:val="45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>
            <w:pPr>
              <w:pStyle w:val="20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44"/>
                <w:sz w:val="20"/>
                <w:szCs w:val="20"/>
              </w:rPr>
              <w:t>Хорошая вовлеченность, хорошее качество визуальных эффектов, слайдов или других материалов, хороший уровень командной работы. </w:t>
            </w:r>
            <w:r>
              <w:rPr>
                <w:rStyle w:val="45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>
            <w:pPr>
              <w:pStyle w:val="20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44"/>
                <w:sz w:val="20"/>
                <w:szCs w:val="20"/>
              </w:rPr>
              <w:t>Удовлетворительный уровень вовлеченности, удовлетворительное качество материалов, удовлетворительный уровень командной работы. </w:t>
            </w:r>
            <w:r>
              <w:rPr>
                <w:rStyle w:val="45"/>
                <w:sz w:val="20"/>
                <w:szCs w:val="20"/>
              </w:rPr>
              <w:t> </w:t>
            </w:r>
          </w:p>
        </w:tc>
        <w:tc>
          <w:tcPr>
            <w:tcW w:w="42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>
            <w:pPr>
              <w:pStyle w:val="20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44"/>
                <w:sz w:val="20"/>
                <w:szCs w:val="20"/>
              </w:rPr>
              <w:t>Низкий уровень вовлеченности, низкое качество материалов, плохой уровень командной работы. </w:t>
            </w:r>
            <w:r>
              <w:rPr>
                <w:rStyle w:val="45"/>
                <w:sz w:val="20"/>
                <w:szCs w:val="20"/>
              </w:rPr>
              <w:t> </w:t>
            </w:r>
          </w:p>
        </w:tc>
      </w:tr>
    </w:tbl>
    <w:p>
      <w:pPr>
        <w:rPr>
          <w:sz w:val="20"/>
          <w:szCs w:val="20"/>
        </w:rPr>
      </w:pPr>
    </w:p>
    <w:p>
      <w:pPr>
        <w:rPr>
          <w:sz w:val="20"/>
          <w:szCs w:val="20"/>
        </w:rPr>
      </w:pPr>
    </w:p>
    <w:p>
      <w:pPr>
        <w:rPr>
          <w:sz w:val="20"/>
          <w:szCs w:val="20"/>
        </w:rPr>
      </w:pPr>
    </w:p>
    <w:p>
      <w:pPr>
        <w:rPr>
          <w:sz w:val="20"/>
          <w:szCs w:val="20"/>
        </w:rPr>
      </w:pPr>
    </w:p>
    <w:sectPr>
      <w:headerReference r:id="rId3" w:type="default"/>
      <w:footerReference r:id="rId4" w:type="default"/>
      <w:pgSz w:w="16838" w:h="11906" w:orient="landscape"/>
      <w:pgMar w:top="850" w:right="1418" w:bottom="1701" w:left="568" w:header="708" w:footer="708" w:gutter="0"/>
      <w:pgNumType w:fmt="decimal" w:start="1"/>
      <w:cols w:space="720" w:num="1"/>
      <w:docGrid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Georgia">
    <w:panose1 w:val="02040502050405020303"/>
    <w:charset w:val="CC"/>
    <w:family w:val="roman"/>
    <w:pitch w:val="default"/>
    <w:sig w:usb0="00000287" w:usb1="00000000" w:usb2="00000000" w:usb3="00000000" w:csb0="2000009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widowControl/>
      <w:autoSpaceDE/>
      <w:autoSpaceDN/>
      <w:jc w:val="both"/>
    </w:pPr>
    <w:r>
      <w:rPr>
        <w:rFonts w:hint="default"/>
        <w:b/>
        <w:bCs/>
        <w:lang w:val="en-US"/>
      </w:rPr>
      <w:t xml:space="preserve">                                         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318561E"/>
    <w:multiLevelType w:val="multilevel"/>
    <w:tmpl w:val="0318561E"/>
    <w:lvl w:ilvl="0" w:tentative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 w:tentative="0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 w:tentative="0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 w:tentative="0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 w:tentative="0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 w:tentative="0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 w:tentative="0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 w:tentative="0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 w:tentative="0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>
    <w:nsid w:val="22993162"/>
    <w:multiLevelType w:val="singleLevel"/>
    <w:tmpl w:val="22993162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4CAD522A"/>
    <w:multiLevelType w:val="multilevel"/>
    <w:tmpl w:val="4CAD522A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A05DFD"/>
    <w:multiLevelType w:val="multilevel"/>
    <w:tmpl w:val="5BA05DFD"/>
    <w:lvl w:ilvl="0" w:tentative="0">
      <w:start w:val="1"/>
      <w:numFmt w:val="decimal"/>
      <w:lvlText w:val="%1."/>
      <w:lvlJc w:val="left"/>
      <w:pPr>
        <w:ind w:left="847" w:hanging="360"/>
      </w:pPr>
    </w:lvl>
    <w:lvl w:ilvl="1" w:tentative="0">
      <w:start w:val="1"/>
      <w:numFmt w:val="lowerLetter"/>
      <w:lvlText w:val="%2."/>
      <w:lvlJc w:val="left"/>
      <w:pPr>
        <w:ind w:left="1646" w:hanging="360"/>
      </w:pPr>
    </w:lvl>
    <w:lvl w:ilvl="2" w:tentative="0">
      <w:start w:val="1"/>
      <w:numFmt w:val="lowerRoman"/>
      <w:lvlText w:val="%3."/>
      <w:lvlJc w:val="right"/>
      <w:pPr>
        <w:ind w:left="2366" w:hanging="180"/>
      </w:pPr>
    </w:lvl>
    <w:lvl w:ilvl="3" w:tentative="0">
      <w:start w:val="1"/>
      <w:numFmt w:val="decimal"/>
      <w:lvlText w:val="%4."/>
      <w:lvlJc w:val="left"/>
      <w:pPr>
        <w:ind w:left="3086" w:hanging="360"/>
      </w:pPr>
    </w:lvl>
    <w:lvl w:ilvl="4" w:tentative="0">
      <w:start w:val="1"/>
      <w:numFmt w:val="lowerLetter"/>
      <w:lvlText w:val="%5."/>
      <w:lvlJc w:val="left"/>
      <w:pPr>
        <w:ind w:left="3806" w:hanging="360"/>
      </w:pPr>
    </w:lvl>
    <w:lvl w:ilvl="5" w:tentative="0">
      <w:start w:val="1"/>
      <w:numFmt w:val="lowerRoman"/>
      <w:lvlText w:val="%6."/>
      <w:lvlJc w:val="right"/>
      <w:pPr>
        <w:ind w:left="4526" w:hanging="180"/>
      </w:pPr>
    </w:lvl>
    <w:lvl w:ilvl="6" w:tentative="0">
      <w:start w:val="1"/>
      <w:numFmt w:val="decimal"/>
      <w:lvlText w:val="%7."/>
      <w:lvlJc w:val="left"/>
      <w:pPr>
        <w:ind w:left="5246" w:hanging="360"/>
      </w:pPr>
    </w:lvl>
    <w:lvl w:ilvl="7" w:tentative="0">
      <w:start w:val="1"/>
      <w:numFmt w:val="lowerLetter"/>
      <w:lvlText w:val="%8."/>
      <w:lvlJc w:val="left"/>
      <w:pPr>
        <w:ind w:left="5966" w:hanging="360"/>
      </w:pPr>
    </w:lvl>
    <w:lvl w:ilvl="8" w:tentative="0">
      <w:start w:val="1"/>
      <w:numFmt w:val="lowerRoman"/>
      <w:lvlText w:val="%9."/>
      <w:lvlJc w:val="right"/>
      <w:pPr>
        <w:ind w:left="6686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62E9"/>
    <w:rsid w:val="003A4E0C"/>
    <w:rsid w:val="003A64E4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D1D6C"/>
    <w:rsid w:val="004D4F2C"/>
    <w:rsid w:val="004E7FA2"/>
    <w:rsid w:val="004F291E"/>
    <w:rsid w:val="004F3CB8"/>
    <w:rsid w:val="004F55A8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26E9"/>
    <w:rsid w:val="00D045E1"/>
    <w:rsid w:val="00D05162"/>
    <w:rsid w:val="00D07190"/>
    <w:rsid w:val="00D16061"/>
    <w:rsid w:val="00D204B8"/>
    <w:rsid w:val="00D2334A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413"/>
    <w:rsid w:val="00E24B76"/>
    <w:rsid w:val="00E27026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6949"/>
    <w:rsid w:val="00F80213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03F259B1"/>
    <w:rsid w:val="05971990"/>
    <w:rsid w:val="280E640F"/>
    <w:rsid w:val="2CE5D884"/>
    <w:rsid w:val="2E2DA889"/>
    <w:rsid w:val="3C3D0F13"/>
    <w:rsid w:val="416217D9"/>
    <w:rsid w:val="594D7AEF"/>
    <w:rsid w:val="5BA66E7F"/>
    <w:rsid w:val="68D17954"/>
    <w:rsid w:val="70682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5">
    <w:name w:val="heading 4"/>
    <w:basedOn w:val="1"/>
    <w:next w:val="1"/>
    <w:qFormat/>
    <w:uiPriority w:val="0"/>
    <w:pPr>
      <w:keepNext/>
      <w:keepLines/>
      <w:spacing w:before="240" w:after="40"/>
      <w:outlineLvl w:val="3"/>
    </w:pPr>
    <w:rPr>
      <w:b/>
    </w:rPr>
  </w:style>
  <w:style w:type="paragraph" w:styleId="6">
    <w:name w:val="heading 5"/>
    <w:basedOn w:val="1"/>
    <w:next w:val="1"/>
    <w:qFormat/>
    <w:uiPriority w:val="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7">
    <w:name w:val="heading 6"/>
    <w:basedOn w:val="1"/>
    <w:next w:val="1"/>
    <w:qFormat/>
    <w:uiPriority w:val="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Hyperlink"/>
    <w:qFormat/>
    <w:uiPriority w:val="99"/>
    <w:rPr>
      <w:rFonts w:cs="Times New Roman"/>
      <w:color w:val="auto"/>
      <w:u w:val="none"/>
    </w:rPr>
  </w:style>
  <w:style w:type="character" w:styleId="11">
    <w:name w:val="Strong"/>
    <w:qFormat/>
    <w:uiPriority w:val="0"/>
    <w:rPr>
      <w:b/>
      <w:bCs/>
    </w:rPr>
  </w:style>
  <w:style w:type="paragraph" w:styleId="12">
    <w:name w:val="Balloon Text"/>
    <w:basedOn w:val="1"/>
    <w:link w:val="38"/>
    <w:semiHidden/>
    <w:unhideWhenUsed/>
    <w:qFormat/>
    <w:uiPriority w:val="99"/>
    <w:rPr>
      <w:rFonts w:ascii="Segoe UI" w:hAnsi="Segoe UI" w:cs="Segoe UI"/>
      <w:sz w:val="18"/>
      <w:szCs w:val="18"/>
    </w:rPr>
  </w:style>
  <w:style w:type="paragraph" w:styleId="13">
    <w:name w:val="header"/>
    <w:basedOn w:val="1"/>
    <w:link w:val="39"/>
    <w:unhideWhenUsed/>
    <w:qFormat/>
    <w:uiPriority w:val="99"/>
    <w:pPr>
      <w:tabs>
        <w:tab w:val="center" w:pos="4677"/>
        <w:tab w:val="right" w:pos="9355"/>
      </w:tabs>
    </w:pPr>
  </w:style>
  <w:style w:type="paragraph" w:styleId="14">
    <w:name w:val="Body Text"/>
    <w:basedOn w:val="1"/>
    <w:qFormat/>
    <w:uiPriority w:val="1"/>
    <w:pPr>
      <w:widowControl w:val="0"/>
      <w:autoSpaceDE w:val="0"/>
      <w:autoSpaceDN w:val="0"/>
    </w:pPr>
    <w:rPr>
      <w:sz w:val="28"/>
      <w:szCs w:val="28"/>
      <w:lang w:bidi="ru-RU"/>
    </w:rPr>
  </w:style>
  <w:style w:type="paragraph" w:styleId="15">
    <w:name w:val="Title"/>
    <w:basedOn w:val="1"/>
    <w:next w:val="1"/>
    <w:qFormat/>
    <w:uiPriority w:val="0"/>
    <w:pPr>
      <w:keepNext/>
      <w:keepLines/>
      <w:spacing w:before="480" w:after="120"/>
    </w:pPr>
    <w:rPr>
      <w:b/>
      <w:sz w:val="72"/>
      <w:szCs w:val="72"/>
    </w:rPr>
  </w:style>
  <w:style w:type="paragraph" w:styleId="16">
    <w:name w:val="footer"/>
    <w:basedOn w:val="1"/>
    <w:link w:val="40"/>
    <w:unhideWhenUsed/>
    <w:qFormat/>
    <w:uiPriority w:val="99"/>
    <w:pPr>
      <w:tabs>
        <w:tab w:val="center" w:pos="4677"/>
        <w:tab w:val="right" w:pos="9355"/>
      </w:tabs>
    </w:pPr>
  </w:style>
  <w:style w:type="paragraph" w:styleId="17">
    <w:name w:val="Normal (Web)"/>
    <w:basedOn w:val="1"/>
    <w:semiHidden/>
    <w:unhideWhenUsed/>
    <w:qFormat/>
    <w:uiPriority w:val="99"/>
    <w:pPr>
      <w:spacing w:before="100" w:beforeAutospacing="1" w:after="100" w:afterAutospacing="1"/>
    </w:pPr>
    <w:rPr>
      <w:lang w:eastAsia="ru-RU"/>
    </w:rPr>
  </w:style>
  <w:style w:type="paragraph" w:styleId="18">
    <w:name w:val="Subtitle"/>
    <w:basedOn w:val="1"/>
    <w:next w:val="1"/>
    <w:qFormat/>
    <w:uiPriority w:val="0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19">
    <w:name w:val="Table Grid"/>
    <w:basedOn w:val="9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20">
    <w:name w:val="paragraph"/>
    <w:basedOn w:val="1"/>
    <w:qFormat/>
    <w:uiPriority w:val="0"/>
    <w:pPr>
      <w:spacing w:before="100" w:beforeAutospacing="1" w:after="100" w:afterAutospacing="1"/>
    </w:pPr>
    <w:rPr>
      <w:lang w:eastAsia="ru-RU"/>
    </w:rPr>
  </w:style>
  <w:style w:type="table" w:customStyle="1" w:styleId="21">
    <w:name w:val="_Style 12"/>
    <w:basedOn w:val="9"/>
    <w:qFormat/>
    <w:uiPriority w:val="0"/>
    <w:tblPr>
      <w:tblCellMar>
        <w:left w:w="115" w:type="dxa"/>
        <w:right w:w="115" w:type="dxa"/>
      </w:tblCellMar>
    </w:tblPr>
  </w:style>
  <w:style w:type="table" w:customStyle="1" w:styleId="22">
    <w:name w:val="_Style 13"/>
    <w:basedOn w:val="9"/>
    <w:qFormat/>
    <w:uiPriority w:val="0"/>
    <w:tblPr>
      <w:tblCellMar>
        <w:left w:w="115" w:type="dxa"/>
        <w:right w:w="115" w:type="dxa"/>
      </w:tblCellMar>
    </w:tblPr>
  </w:style>
  <w:style w:type="table" w:customStyle="1" w:styleId="23">
    <w:name w:val="_Style 14"/>
    <w:basedOn w:val="9"/>
    <w:qFormat/>
    <w:uiPriority w:val="0"/>
    <w:tblPr>
      <w:tblCellMar>
        <w:left w:w="115" w:type="dxa"/>
        <w:right w:w="115" w:type="dxa"/>
      </w:tblCellMar>
    </w:tblPr>
  </w:style>
  <w:style w:type="table" w:customStyle="1" w:styleId="24">
    <w:name w:val="_Style 15"/>
    <w:basedOn w:val="9"/>
    <w:qFormat/>
    <w:uiPriority w:val="0"/>
    <w:tblPr>
      <w:tblCellMar>
        <w:left w:w="115" w:type="dxa"/>
        <w:right w:w="115" w:type="dxa"/>
      </w:tblCellMar>
    </w:tblPr>
  </w:style>
  <w:style w:type="table" w:customStyle="1" w:styleId="25">
    <w:name w:val="_Style 16"/>
    <w:basedOn w:val="9"/>
    <w:qFormat/>
    <w:uiPriority w:val="0"/>
    <w:tblPr>
      <w:tblCellMar>
        <w:left w:w="115" w:type="dxa"/>
        <w:right w:w="115" w:type="dxa"/>
      </w:tblCellMar>
    </w:tblPr>
  </w:style>
  <w:style w:type="table" w:customStyle="1" w:styleId="26">
    <w:name w:val="_Style 17"/>
    <w:basedOn w:val="9"/>
    <w:qFormat/>
    <w:uiPriority w:val="0"/>
    <w:rPr>
      <w:sz w:val="20"/>
      <w:szCs w:val="20"/>
    </w:rPr>
  </w:style>
  <w:style w:type="table" w:customStyle="1" w:styleId="27">
    <w:name w:val="_Style 18"/>
    <w:basedOn w:val="9"/>
    <w:qFormat/>
    <w:uiPriority w:val="0"/>
    <w:tblPr>
      <w:tblCellMar>
        <w:left w:w="115" w:type="dxa"/>
        <w:right w:w="115" w:type="dxa"/>
      </w:tblCellMar>
    </w:tblPr>
  </w:style>
  <w:style w:type="table" w:customStyle="1" w:styleId="28">
    <w:name w:val="_Style 19"/>
    <w:basedOn w:val="9"/>
    <w:qFormat/>
    <w:uiPriority w:val="0"/>
    <w:tblPr>
      <w:tblCellMar>
        <w:left w:w="115" w:type="dxa"/>
        <w:right w:w="115" w:type="dxa"/>
      </w:tblCellMar>
    </w:tblPr>
  </w:style>
  <w:style w:type="table" w:customStyle="1" w:styleId="29">
    <w:name w:val="_Style 20"/>
    <w:basedOn w:val="9"/>
    <w:qFormat/>
    <w:uiPriority w:val="0"/>
    <w:tblPr>
      <w:tblCellMar>
        <w:left w:w="115" w:type="dxa"/>
        <w:right w:w="115" w:type="dxa"/>
      </w:tblCellMar>
    </w:tblPr>
  </w:style>
  <w:style w:type="table" w:customStyle="1" w:styleId="30">
    <w:name w:val="_Style 21"/>
    <w:basedOn w:val="9"/>
    <w:qFormat/>
    <w:uiPriority w:val="0"/>
    <w:tblPr>
      <w:tblCellMar>
        <w:left w:w="115" w:type="dxa"/>
        <w:right w:w="115" w:type="dxa"/>
      </w:tblCellMar>
    </w:tblPr>
  </w:style>
  <w:style w:type="table" w:customStyle="1" w:styleId="31">
    <w:name w:val="_Style 22"/>
    <w:basedOn w:val="9"/>
    <w:qFormat/>
    <w:uiPriority w:val="0"/>
    <w:tblPr>
      <w:tblCellMar>
        <w:left w:w="115" w:type="dxa"/>
        <w:right w:w="115" w:type="dxa"/>
      </w:tblCellMar>
    </w:tblPr>
  </w:style>
  <w:style w:type="table" w:customStyle="1" w:styleId="32">
    <w:name w:val="_Style 23"/>
    <w:basedOn w:val="9"/>
    <w:qFormat/>
    <w:uiPriority w:val="0"/>
    <w:tblPr>
      <w:tblCellMar>
        <w:left w:w="115" w:type="dxa"/>
        <w:right w:w="115" w:type="dxa"/>
      </w:tblCellMar>
    </w:tblPr>
  </w:style>
  <w:style w:type="table" w:customStyle="1" w:styleId="33">
    <w:name w:val="_Style 24"/>
    <w:basedOn w:val="9"/>
    <w:qFormat/>
    <w:uiPriority w:val="0"/>
    <w:tblPr>
      <w:tblCellMar>
        <w:left w:w="115" w:type="dxa"/>
        <w:right w:w="115" w:type="dxa"/>
      </w:tblCellMar>
    </w:tblPr>
  </w:style>
  <w:style w:type="table" w:customStyle="1" w:styleId="34">
    <w:name w:val="_Style 25"/>
    <w:basedOn w:val="9"/>
    <w:qFormat/>
    <w:uiPriority w:val="0"/>
    <w:tblPr>
      <w:tblCellMar>
        <w:left w:w="115" w:type="dxa"/>
        <w:right w:w="115" w:type="dxa"/>
      </w:tblCellMar>
    </w:tblPr>
  </w:style>
  <w:style w:type="table" w:customStyle="1" w:styleId="35">
    <w:name w:val="_Style 26"/>
    <w:basedOn w:val="9"/>
    <w:qFormat/>
    <w:uiPriority w:val="0"/>
    <w:tblPr>
      <w:tblCellMar>
        <w:left w:w="115" w:type="dxa"/>
        <w:right w:w="115" w:type="dxa"/>
      </w:tblCellMar>
    </w:tblPr>
  </w:style>
  <w:style w:type="table" w:customStyle="1" w:styleId="36">
    <w:name w:val="_Style 27"/>
    <w:basedOn w:val="9"/>
    <w:qFormat/>
    <w:uiPriority w:val="0"/>
    <w:tblPr>
      <w:tblCellMar>
        <w:left w:w="115" w:type="dxa"/>
        <w:right w:w="115" w:type="dxa"/>
      </w:tblCellMar>
    </w:tblPr>
  </w:style>
  <w:style w:type="table" w:customStyle="1" w:styleId="37">
    <w:name w:val="_Style 28"/>
    <w:basedOn w:val="9"/>
    <w:qFormat/>
    <w:uiPriority w:val="0"/>
    <w:tblPr>
      <w:tblCellMar>
        <w:left w:w="115" w:type="dxa"/>
        <w:right w:w="115" w:type="dxa"/>
      </w:tblCellMar>
    </w:tblPr>
  </w:style>
  <w:style w:type="character" w:customStyle="1" w:styleId="38">
    <w:name w:val="Текст выноски Знак"/>
    <w:basedOn w:val="8"/>
    <w:link w:val="12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39">
    <w:name w:val="Верхний колонтитул Знак"/>
    <w:basedOn w:val="8"/>
    <w:link w:val="13"/>
    <w:qFormat/>
    <w:uiPriority w:val="99"/>
  </w:style>
  <w:style w:type="character" w:customStyle="1" w:styleId="40">
    <w:name w:val="Нижний колонтитул Знак"/>
    <w:basedOn w:val="8"/>
    <w:link w:val="16"/>
    <w:qFormat/>
    <w:uiPriority w:val="99"/>
  </w:style>
  <w:style w:type="paragraph" w:styleId="41">
    <w:name w:val="List Paragraph"/>
    <w:basedOn w:val="1"/>
    <w:link w:val="42"/>
    <w:qFormat/>
    <w:uiPriority w:val="34"/>
    <w:pPr>
      <w:ind w:left="720"/>
      <w:contextualSpacing/>
    </w:pPr>
  </w:style>
  <w:style w:type="character" w:customStyle="1" w:styleId="42">
    <w:name w:val="Абзац списка Знак"/>
    <w:link w:val="41"/>
    <w:qFormat/>
    <w:locked/>
    <w:uiPriority w:val="34"/>
  </w:style>
  <w:style w:type="character" w:customStyle="1" w:styleId="43">
    <w:name w:val="contentcontrolboundarysink"/>
    <w:basedOn w:val="8"/>
    <w:qFormat/>
    <w:uiPriority w:val="0"/>
  </w:style>
  <w:style w:type="character" w:customStyle="1" w:styleId="44">
    <w:name w:val="normaltextrun"/>
    <w:basedOn w:val="8"/>
    <w:qFormat/>
    <w:uiPriority w:val="0"/>
  </w:style>
  <w:style w:type="character" w:customStyle="1" w:styleId="45">
    <w:name w:val="eop"/>
    <w:basedOn w:val="8"/>
    <w:qFormat/>
    <w:uiPriority w:val="0"/>
  </w:style>
  <w:style w:type="table" w:customStyle="1" w:styleId="46">
    <w:name w:val="Table Normal1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47">
    <w:name w:val="Table Paragraph"/>
    <w:basedOn w:val="1"/>
    <w:qFormat/>
    <w:uiPriority w:val="1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3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585658-F44C-45A0-8AD2-CF666805F44A}">
  <ds:schemaRefs/>
</ds:datastoreItem>
</file>

<file path=customXml/itemProps2.xml><?xml version="1.0" encoding="utf-8"?>
<ds:datastoreItem xmlns:ds="http://schemas.openxmlformats.org/officeDocument/2006/customXml" ds:itemID="{0B8365E6-5F13-467B-842E-9BE5178AD20C}">
  <ds:schemaRefs/>
</ds:datastoreItem>
</file>

<file path=customXml/itemProps3.xml><?xml version="1.0" encoding="utf-8"?>
<ds:datastoreItem xmlns:ds="http://schemas.openxmlformats.org/officeDocument/2006/customXml" ds:itemID="{FB8E2E28-4375-412A-B1C4-C8C1EF9D257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2724</Words>
  <Characters>15531</Characters>
  <Lines>129</Lines>
  <Paragraphs>36</Paragraphs>
  <TotalTime>9</TotalTime>
  <ScaleCrop>false</ScaleCrop>
  <LinksUpToDate>false</LinksUpToDate>
  <CharactersWithSpaces>18219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2022-06-22T05:26:00Z</dcterms:created>
  <dc:creator>Амирбекова Гулмира</dc:creator>
  <cp:lastModifiedBy>Admin</cp:lastModifiedBy>
  <cp:lastPrinted>2023-06-26T06:38:00Z</cp:lastPrinted>
  <dcterms:modified xsi:type="dcterms:W3CDTF">2023-07-03T09:07:20Z</dcterms:modified>
  <cp:revision>603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  <property fmtid="{D5CDD505-2E9C-101B-9397-08002B2CF9AE}" pid="4" name="KSOProductBuildVer">
    <vt:lpwstr>1049-11.2.0.11537</vt:lpwstr>
  </property>
  <property fmtid="{D5CDD505-2E9C-101B-9397-08002B2CF9AE}" pid="5" name="ICV">
    <vt:lpwstr>A42D5748E3114F07B24652699ADA871C</vt:lpwstr>
  </property>
</Properties>
</file>